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98" w:rsidRPr="00277219" w:rsidRDefault="00D61F98" w:rsidP="00D61F98">
      <w:pPr>
        <w:spacing w:after="0" w:line="240" w:lineRule="auto"/>
        <w:jc w:val="center"/>
        <w:rPr>
          <w:rFonts w:ascii="Arial Narrow" w:eastAsia="Times New Roman" w:hAnsi="Arial Narrow" w:cs="Times New Roman"/>
          <w:noProof/>
          <w:sz w:val="24"/>
          <w:szCs w:val="24"/>
          <w:lang w:eastAsia="it-IT"/>
        </w:rPr>
      </w:pPr>
      <w:r w:rsidRPr="00277219">
        <w:rPr>
          <w:rFonts w:ascii="Arial Narrow" w:eastAsia="Times New Roman" w:hAnsi="Arial Narrow" w:cs="Times New Roman"/>
          <w:noProof/>
          <w:sz w:val="24"/>
          <w:szCs w:val="24"/>
          <w:lang w:eastAsia="it-IT"/>
        </w:rPr>
        <w:drawing>
          <wp:inline distT="0" distB="0" distL="0" distR="0" wp14:anchorId="689A7B81" wp14:editId="0980EB7E">
            <wp:extent cx="1200150" cy="914400"/>
            <wp:effectExtent l="0" t="0" r="0" b="0"/>
            <wp:docPr id="1" name="Immagine 1" descr="UPI_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PI_comple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a:ln>
                      <a:noFill/>
                    </a:ln>
                  </pic:spPr>
                </pic:pic>
              </a:graphicData>
            </a:graphic>
          </wp:inline>
        </w:drawing>
      </w:r>
    </w:p>
    <w:p w:rsidR="00D61F98" w:rsidRPr="00277219" w:rsidRDefault="00D61F98" w:rsidP="00D61F98">
      <w:pPr>
        <w:keepNext/>
        <w:spacing w:after="0" w:line="240" w:lineRule="auto"/>
        <w:jc w:val="center"/>
        <w:outlineLvl w:val="0"/>
        <w:rPr>
          <w:rFonts w:ascii="Verdana" w:eastAsia="Calibri" w:hAnsi="Verdana" w:cs="Arial"/>
          <w:sz w:val="20"/>
          <w:szCs w:val="20"/>
          <w:lang w:eastAsia="it-IT"/>
        </w:rPr>
      </w:pPr>
    </w:p>
    <w:p w:rsidR="00D61F98" w:rsidRPr="00277219" w:rsidRDefault="00D61F98" w:rsidP="00D61F98">
      <w:pPr>
        <w:keepNext/>
        <w:spacing w:after="0" w:line="240" w:lineRule="auto"/>
        <w:jc w:val="center"/>
        <w:outlineLvl w:val="0"/>
        <w:rPr>
          <w:rFonts w:ascii="Verdana" w:eastAsia="Calibri" w:hAnsi="Verdana" w:cs="Arial"/>
          <w:sz w:val="20"/>
          <w:szCs w:val="20"/>
          <w:lang w:eastAsia="it-IT"/>
        </w:rPr>
      </w:pPr>
      <w:r w:rsidRPr="00277219">
        <w:rPr>
          <w:rFonts w:ascii="Verdana" w:eastAsia="Calibri" w:hAnsi="Verdana" w:cs="Arial"/>
          <w:sz w:val="20"/>
          <w:szCs w:val="20"/>
          <w:lang w:eastAsia="it-IT"/>
        </w:rPr>
        <w:t>Ordine del giorno</w:t>
      </w:r>
    </w:p>
    <w:p w:rsidR="00D61F98" w:rsidRPr="00277219" w:rsidRDefault="00D61F98" w:rsidP="00D61F98">
      <w:pPr>
        <w:keepNext/>
        <w:spacing w:after="0" w:line="240" w:lineRule="auto"/>
        <w:jc w:val="center"/>
        <w:outlineLvl w:val="0"/>
        <w:rPr>
          <w:rFonts w:ascii="Verdana" w:eastAsia="Calibri" w:hAnsi="Verdana" w:cs="Arial"/>
          <w:b/>
          <w:bCs/>
          <w:sz w:val="20"/>
          <w:szCs w:val="20"/>
          <w:lang w:eastAsia="it-IT"/>
        </w:rPr>
      </w:pPr>
      <w:r w:rsidRPr="00277219">
        <w:rPr>
          <w:rFonts w:ascii="Verdana" w:eastAsia="Calibri" w:hAnsi="Verdana" w:cs="Arial"/>
          <w:b/>
          <w:bCs/>
          <w:sz w:val="20"/>
          <w:szCs w:val="20"/>
          <w:lang w:eastAsia="it-IT"/>
        </w:rPr>
        <w:t>Conferenza Unificata</w:t>
      </w:r>
    </w:p>
    <w:p w:rsidR="00D61F98" w:rsidRPr="00277219" w:rsidRDefault="00D61F98" w:rsidP="00D61F98">
      <w:pPr>
        <w:spacing w:after="0" w:line="240" w:lineRule="auto"/>
        <w:jc w:val="center"/>
        <w:rPr>
          <w:rFonts w:ascii="Verdana" w:eastAsia="Times New Roman" w:hAnsi="Verdana" w:cs="Arial"/>
          <w:color w:val="000000"/>
          <w:sz w:val="20"/>
          <w:szCs w:val="20"/>
          <w:lang w:eastAsia="it-IT"/>
        </w:rPr>
      </w:pPr>
      <w:r>
        <w:rPr>
          <w:rFonts w:ascii="Verdana" w:eastAsia="Times New Roman" w:hAnsi="Verdana" w:cs="Arial"/>
          <w:color w:val="000000"/>
          <w:sz w:val="20"/>
          <w:szCs w:val="20"/>
          <w:lang w:eastAsia="it-IT"/>
        </w:rPr>
        <w:t>13 febbraio 2019</w:t>
      </w:r>
      <w:r w:rsidRPr="00277219">
        <w:rPr>
          <w:rFonts w:ascii="Verdana" w:eastAsia="Times New Roman" w:hAnsi="Verdana" w:cs="Arial"/>
          <w:color w:val="000000"/>
          <w:sz w:val="20"/>
          <w:szCs w:val="20"/>
          <w:lang w:eastAsia="it-IT"/>
        </w:rPr>
        <w:t xml:space="preserve"> ore </w:t>
      </w:r>
      <w:r>
        <w:rPr>
          <w:rFonts w:ascii="Verdana" w:eastAsia="Times New Roman" w:hAnsi="Verdana" w:cs="Arial"/>
          <w:color w:val="000000"/>
          <w:sz w:val="20"/>
          <w:szCs w:val="20"/>
          <w:lang w:eastAsia="it-IT"/>
        </w:rPr>
        <w:t>14.30</w:t>
      </w:r>
    </w:p>
    <w:p w:rsidR="00D61F98" w:rsidRPr="00277219" w:rsidRDefault="00D61F98" w:rsidP="00D61F98">
      <w:pPr>
        <w:spacing w:after="0" w:line="240" w:lineRule="auto"/>
        <w:jc w:val="center"/>
        <w:rPr>
          <w:rFonts w:ascii="Verdana" w:eastAsia="Times New Roman" w:hAnsi="Verdana" w:cs="Arial"/>
          <w:color w:val="000000"/>
          <w:sz w:val="20"/>
          <w:szCs w:val="20"/>
          <w:lang w:eastAsia="it-IT"/>
        </w:rPr>
      </w:pPr>
      <w:r w:rsidRPr="00277219">
        <w:rPr>
          <w:rFonts w:ascii="Verdana" w:eastAsia="Times New Roman" w:hAnsi="Verdana" w:cs="Arial"/>
          <w:color w:val="000000"/>
          <w:sz w:val="20"/>
          <w:szCs w:val="20"/>
          <w:lang w:eastAsia="it-IT"/>
        </w:rPr>
        <w:t xml:space="preserve">Sala Riunioni – via della Stamperia 8 </w:t>
      </w:r>
    </w:p>
    <w:p w:rsidR="00D61F98" w:rsidRPr="00277219" w:rsidRDefault="00D61F98" w:rsidP="00D61F98">
      <w:pPr>
        <w:spacing w:after="0" w:line="240" w:lineRule="auto"/>
        <w:jc w:val="center"/>
        <w:rPr>
          <w:rFonts w:ascii="Verdana" w:eastAsia="Times New Roman" w:hAnsi="Verdana" w:cs="Arial"/>
          <w:color w:val="000000"/>
          <w:sz w:val="20"/>
          <w:szCs w:val="20"/>
          <w:lang w:eastAsia="it-IT"/>
        </w:rPr>
      </w:pPr>
    </w:p>
    <w:p w:rsidR="00D61F98" w:rsidRDefault="00D61F98" w:rsidP="00D61F98">
      <w:pPr>
        <w:spacing w:after="0" w:line="240" w:lineRule="auto"/>
        <w:jc w:val="center"/>
        <w:rPr>
          <w:rFonts w:ascii="Verdana" w:eastAsia="Times New Roman" w:hAnsi="Verdana" w:cs="Arial"/>
          <w:color w:val="000000"/>
          <w:sz w:val="20"/>
          <w:szCs w:val="20"/>
          <w:lang w:eastAsia="it-IT"/>
        </w:rPr>
      </w:pPr>
    </w:p>
    <w:p w:rsidR="001B73AE" w:rsidRDefault="001B73AE" w:rsidP="00D61F98">
      <w:pPr>
        <w:spacing w:after="0" w:line="240" w:lineRule="auto"/>
        <w:jc w:val="center"/>
        <w:rPr>
          <w:rFonts w:ascii="Verdana" w:eastAsia="Times New Roman" w:hAnsi="Verdana" w:cs="Arial"/>
          <w:color w:val="000000"/>
          <w:sz w:val="20"/>
          <w:szCs w:val="20"/>
          <w:lang w:eastAsia="it-IT"/>
        </w:rPr>
      </w:pPr>
    </w:p>
    <w:p w:rsidR="00B44562" w:rsidRPr="00277219" w:rsidRDefault="00B44562" w:rsidP="00D61F98">
      <w:pPr>
        <w:spacing w:after="0" w:line="240" w:lineRule="auto"/>
        <w:jc w:val="center"/>
        <w:rPr>
          <w:rFonts w:ascii="Verdana" w:eastAsia="Times New Roman" w:hAnsi="Verdana" w:cs="Arial"/>
          <w:color w:val="000000"/>
          <w:sz w:val="20"/>
          <w:szCs w:val="20"/>
          <w:lang w:eastAsia="it-IT"/>
        </w:rPr>
      </w:pPr>
    </w:p>
    <w:tbl>
      <w:tblPr>
        <w:tblW w:w="52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E0" w:firstRow="1" w:lastRow="1" w:firstColumn="1" w:lastColumn="0" w:noHBand="0" w:noVBand="0"/>
      </w:tblPr>
      <w:tblGrid>
        <w:gridCol w:w="360"/>
        <w:gridCol w:w="6012"/>
        <w:gridCol w:w="1986"/>
        <w:gridCol w:w="5707"/>
        <w:gridCol w:w="1049"/>
      </w:tblGrid>
      <w:tr w:rsidR="00D61F98" w:rsidRPr="00277219" w:rsidTr="001B73AE">
        <w:trPr>
          <w:trHeight w:val="392"/>
        </w:trPr>
        <w:tc>
          <w:tcPr>
            <w:tcW w:w="119" w:type="pct"/>
            <w:tcBorders>
              <w:bottom w:val="single" w:sz="4" w:space="0" w:color="000000"/>
            </w:tcBorders>
          </w:tcPr>
          <w:p w:rsidR="00D61F98" w:rsidRPr="00277219" w:rsidRDefault="00D61F98" w:rsidP="0057396E">
            <w:pPr>
              <w:spacing w:after="0" w:line="240" w:lineRule="auto"/>
              <w:jc w:val="center"/>
              <w:rPr>
                <w:rFonts w:ascii="Arial Narrow" w:eastAsia="Times New Roman" w:hAnsi="Arial Narrow" w:cs="Arial"/>
                <w:b/>
                <w:color w:val="000000"/>
                <w:sz w:val="24"/>
                <w:szCs w:val="24"/>
                <w:lang w:eastAsia="it-IT"/>
              </w:rPr>
            </w:pPr>
          </w:p>
        </w:tc>
        <w:tc>
          <w:tcPr>
            <w:tcW w:w="1989" w:type="pct"/>
            <w:tcBorders>
              <w:bottom w:val="single" w:sz="4" w:space="0" w:color="000000"/>
            </w:tcBorders>
          </w:tcPr>
          <w:p w:rsidR="00D61F98" w:rsidRPr="00277219" w:rsidRDefault="00D61F98" w:rsidP="0057396E">
            <w:pPr>
              <w:spacing w:after="0" w:line="240" w:lineRule="auto"/>
              <w:jc w:val="center"/>
              <w:rPr>
                <w:rFonts w:ascii="Verdana" w:eastAsia="Times New Roman" w:hAnsi="Verdana" w:cs="Arial"/>
                <w:b/>
                <w:color w:val="000000"/>
                <w:sz w:val="24"/>
                <w:szCs w:val="24"/>
                <w:lang w:eastAsia="it-IT"/>
              </w:rPr>
            </w:pPr>
            <w:r w:rsidRPr="00277219">
              <w:rPr>
                <w:rFonts w:ascii="Verdana" w:eastAsia="Times New Roman" w:hAnsi="Verdana" w:cs="Arial"/>
                <w:b/>
                <w:color w:val="000000"/>
                <w:sz w:val="24"/>
                <w:szCs w:val="24"/>
                <w:lang w:eastAsia="it-IT"/>
              </w:rPr>
              <w:t>PROVVEDIMENTO</w:t>
            </w:r>
          </w:p>
        </w:tc>
        <w:tc>
          <w:tcPr>
            <w:tcW w:w="657" w:type="pct"/>
            <w:tcBorders>
              <w:bottom w:val="single" w:sz="4" w:space="0" w:color="000000"/>
            </w:tcBorders>
          </w:tcPr>
          <w:p w:rsidR="00D61F98" w:rsidRPr="00277219" w:rsidRDefault="00D61F98" w:rsidP="0057396E">
            <w:pPr>
              <w:spacing w:after="0" w:line="240" w:lineRule="auto"/>
              <w:jc w:val="center"/>
              <w:rPr>
                <w:rFonts w:ascii="Verdana" w:eastAsia="Times New Roman" w:hAnsi="Verdana" w:cs="Arial"/>
                <w:b/>
                <w:color w:val="000000"/>
                <w:sz w:val="24"/>
                <w:szCs w:val="24"/>
                <w:lang w:eastAsia="it-IT"/>
              </w:rPr>
            </w:pPr>
            <w:r w:rsidRPr="00277219">
              <w:rPr>
                <w:rFonts w:ascii="Verdana" w:eastAsia="Times New Roman" w:hAnsi="Verdana" w:cs="Arial"/>
                <w:b/>
                <w:color w:val="000000"/>
                <w:sz w:val="24"/>
                <w:szCs w:val="24"/>
                <w:lang w:eastAsia="it-IT"/>
              </w:rPr>
              <w:t>REFERENTE</w:t>
            </w:r>
          </w:p>
        </w:tc>
        <w:tc>
          <w:tcPr>
            <w:tcW w:w="1888" w:type="pct"/>
            <w:tcBorders>
              <w:bottom w:val="single" w:sz="4" w:space="0" w:color="000000"/>
            </w:tcBorders>
          </w:tcPr>
          <w:p w:rsidR="00D61F98" w:rsidRPr="00277219" w:rsidRDefault="00D61F98" w:rsidP="0057396E">
            <w:pPr>
              <w:spacing w:after="0" w:line="240" w:lineRule="auto"/>
              <w:jc w:val="center"/>
              <w:rPr>
                <w:rFonts w:ascii="Verdana" w:eastAsia="Times New Roman" w:hAnsi="Verdana" w:cs="Arial"/>
                <w:b/>
                <w:color w:val="000000"/>
                <w:sz w:val="24"/>
                <w:szCs w:val="24"/>
                <w:lang w:eastAsia="it-IT"/>
              </w:rPr>
            </w:pPr>
            <w:r w:rsidRPr="00277219">
              <w:rPr>
                <w:rFonts w:ascii="Verdana" w:eastAsia="Times New Roman" w:hAnsi="Verdana" w:cs="Arial"/>
                <w:b/>
                <w:color w:val="000000"/>
                <w:sz w:val="24"/>
                <w:szCs w:val="24"/>
                <w:lang w:eastAsia="it-IT"/>
              </w:rPr>
              <w:t>OSSERVAZIONI</w:t>
            </w:r>
          </w:p>
        </w:tc>
        <w:tc>
          <w:tcPr>
            <w:tcW w:w="347" w:type="pct"/>
          </w:tcPr>
          <w:p w:rsidR="00D61F98" w:rsidRPr="00277219" w:rsidRDefault="00D61F98" w:rsidP="0057396E">
            <w:pPr>
              <w:spacing w:after="0" w:line="240" w:lineRule="auto"/>
              <w:jc w:val="center"/>
              <w:rPr>
                <w:rFonts w:ascii="Verdana" w:eastAsia="Times New Roman" w:hAnsi="Verdana" w:cs="Arial"/>
                <w:b/>
                <w:color w:val="000000"/>
                <w:sz w:val="24"/>
                <w:szCs w:val="24"/>
                <w:lang w:eastAsia="it-IT"/>
              </w:rPr>
            </w:pPr>
            <w:r w:rsidRPr="00277219">
              <w:rPr>
                <w:rFonts w:ascii="Verdana" w:eastAsia="Times New Roman" w:hAnsi="Verdana" w:cs="Arial"/>
                <w:b/>
                <w:color w:val="000000"/>
                <w:sz w:val="24"/>
                <w:szCs w:val="24"/>
                <w:lang w:eastAsia="it-IT"/>
              </w:rPr>
              <w:t>ESITO</w:t>
            </w:r>
          </w:p>
        </w:tc>
      </w:tr>
      <w:tr w:rsidR="00D61F98" w:rsidRPr="00277219" w:rsidTr="001B73AE">
        <w:trPr>
          <w:trHeight w:val="235"/>
        </w:trPr>
        <w:tc>
          <w:tcPr>
            <w:tcW w:w="119" w:type="pct"/>
            <w:shd w:val="clear" w:color="auto" w:fill="auto"/>
          </w:tcPr>
          <w:p w:rsidR="00D61F98" w:rsidRDefault="00D61F98" w:rsidP="0057396E">
            <w:pPr>
              <w:jc w:val="center"/>
              <w:rPr>
                <w:rFonts w:ascii="Verdana" w:hAnsi="Verdana"/>
                <w:sz w:val="20"/>
                <w:szCs w:val="20"/>
              </w:rPr>
            </w:pPr>
            <w:r>
              <w:rPr>
                <w:rStyle w:val="Enfasigrassetto"/>
                <w:rFonts w:ascii="Verdana" w:hAnsi="Verdana"/>
                <w:sz w:val="20"/>
                <w:szCs w:val="20"/>
              </w:rPr>
              <w:t>1</w:t>
            </w:r>
          </w:p>
        </w:tc>
        <w:tc>
          <w:tcPr>
            <w:tcW w:w="1989" w:type="pct"/>
            <w:shd w:val="clear" w:color="auto" w:fill="auto"/>
          </w:tcPr>
          <w:p w:rsidR="00D61F98" w:rsidRPr="00AE6D91" w:rsidRDefault="000B68A5" w:rsidP="0057396E">
            <w:pPr>
              <w:jc w:val="both"/>
              <w:rPr>
                <w:rFonts w:ascii="Verdana" w:hAnsi="Verdana"/>
                <w:sz w:val="20"/>
                <w:szCs w:val="20"/>
              </w:rPr>
            </w:pPr>
            <w:hyperlink r:id="rId5" w:history="1">
              <w:r w:rsidR="00D61F98" w:rsidRPr="00AE6D91">
                <w:rPr>
                  <w:rFonts w:ascii="Verdana" w:hAnsi="Verdana"/>
                  <w:sz w:val="20"/>
                  <w:szCs w:val="20"/>
                </w:rPr>
                <w:t>Acquisizione della designazione, ai sensi dell’articolo 4, del decreto legislativo 28 giugno 2012, n. 106, di un componente “esperto” del Consiglio di Amministrazione dell’Istituto Superiore di Sanità. (SALUTE)</w:t>
              </w:r>
            </w:hyperlink>
          </w:p>
        </w:tc>
        <w:tc>
          <w:tcPr>
            <w:tcW w:w="657" w:type="pct"/>
            <w:shd w:val="clear" w:color="auto" w:fill="auto"/>
          </w:tcPr>
          <w:p w:rsidR="00D61F98" w:rsidRDefault="00D61F98" w:rsidP="0057396E">
            <w:pPr>
              <w:jc w:val="center"/>
              <w:rPr>
                <w:rFonts w:ascii="Verdana" w:hAnsi="Verdana"/>
                <w:sz w:val="20"/>
                <w:szCs w:val="20"/>
              </w:rPr>
            </w:pPr>
            <w:r>
              <w:rPr>
                <w:rFonts w:ascii="Verdana" w:hAnsi="Verdana"/>
                <w:sz w:val="20"/>
                <w:szCs w:val="20"/>
              </w:rPr>
              <w:t>DESIGNAZIONE</w:t>
            </w:r>
          </w:p>
        </w:tc>
        <w:tc>
          <w:tcPr>
            <w:tcW w:w="1888" w:type="pct"/>
            <w:shd w:val="clear" w:color="auto" w:fill="auto"/>
          </w:tcPr>
          <w:p w:rsidR="00D61F98" w:rsidRPr="00880BF7" w:rsidRDefault="00D61F98" w:rsidP="0057396E">
            <w:pPr>
              <w:rPr>
                <w:rFonts w:ascii="Verdana" w:hAnsi="Verdana"/>
                <w:i/>
                <w:sz w:val="20"/>
                <w:szCs w:val="20"/>
              </w:rPr>
            </w:pPr>
            <w:r w:rsidRPr="00880BF7">
              <w:rPr>
                <w:rFonts w:ascii="Verdana" w:hAnsi="Verdana"/>
                <w:i/>
                <w:sz w:val="20"/>
                <w:szCs w:val="20"/>
              </w:rPr>
              <w:t>Designazione Regioni</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D61F98" w:rsidP="0057396E">
            <w:pPr>
              <w:jc w:val="center"/>
              <w:rPr>
                <w:rFonts w:ascii="Verdana" w:hAnsi="Verdana"/>
                <w:sz w:val="20"/>
                <w:szCs w:val="20"/>
              </w:rPr>
            </w:pPr>
            <w:r>
              <w:rPr>
                <w:rStyle w:val="Enfasigrassetto"/>
                <w:rFonts w:ascii="Verdana" w:hAnsi="Verdana"/>
                <w:sz w:val="20"/>
                <w:szCs w:val="20"/>
              </w:rPr>
              <w:t>2</w:t>
            </w:r>
          </w:p>
        </w:tc>
        <w:tc>
          <w:tcPr>
            <w:tcW w:w="1989" w:type="pct"/>
            <w:shd w:val="clear" w:color="auto" w:fill="auto"/>
          </w:tcPr>
          <w:p w:rsidR="00D61F98" w:rsidRPr="00AE6D91" w:rsidRDefault="00D61F98" w:rsidP="0057396E">
            <w:pPr>
              <w:jc w:val="both"/>
              <w:rPr>
                <w:rFonts w:ascii="Verdana" w:hAnsi="Verdana"/>
                <w:sz w:val="20"/>
                <w:szCs w:val="20"/>
              </w:rPr>
            </w:pPr>
            <w:r>
              <w:rPr>
                <w:rFonts w:ascii="Verdana" w:hAnsi="Verdana"/>
                <w:sz w:val="20"/>
                <w:szCs w:val="20"/>
              </w:rPr>
              <w:t xml:space="preserve">Intesa, ai sensi dell’articolo 49 quater, comma 13, del decreto legislativo 18 luglio 2005, n. 171, sullo schema di decreto del Ministro dello sviluppo economico recante: “Modalità di iscrizione nel registro delle imprese e nel REA dei soggetti esercitanti l’attività di mediatore del diporto” (SVILUPPO ECONOMICO) </w:t>
            </w:r>
          </w:p>
        </w:tc>
        <w:tc>
          <w:tcPr>
            <w:tcW w:w="657" w:type="pct"/>
            <w:shd w:val="clear" w:color="auto" w:fill="auto"/>
          </w:tcPr>
          <w:p w:rsidR="00D61F98" w:rsidRDefault="00D61F98" w:rsidP="0057396E">
            <w:pPr>
              <w:jc w:val="center"/>
              <w:rPr>
                <w:rFonts w:ascii="Verdana" w:hAnsi="Verdana"/>
                <w:sz w:val="20"/>
                <w:szCs w:val="20"/>
              </w:rPr>
            </w:pPr>
            <w:r>
              <w:rPr>
                <w:rFonts w:ascii="Verdana" w:hAnsi="Verdana"/>
                <w:sz w:val="20"/>
                <w:szCs w:val="20"/>
              </w:rPr>
              <w:t>GOTTARDI</w:t>
            </w:r>
          </w:p>
        </w:tc>
        <w:tc>
          <w:tcPr>
            <w:tcW w:w="1888" w:type="pct"/>
            <w:shd w:val="clear" w:color="auto" w:fill="auto"/>
          </w:tcPr>
          <w:p w:rsidR="00880BF7" w:rsidRPr="00880BF7" w:rsidRDefault="00880BF7" w:rsidP="0057396E">
            <w:pPr>
              <w:jc w:val="both"/>
              <w:rPr>
                <w:rFonts w:ascii="Verdana" w:hAnsi="Verdana"/>
                <w:i/>
                <w:sz w:val="20"/>
                <w:szCs w:val="20"/>
              </w:rPr>
            </w:pPr>
            <w:r w:rsidRPr="00880BF7">
              <w:rPr>
                <w:rFonts w:ascii="Verdana" w:hAnsi="Verdana"/>
                <w:i/>
                <w:sz w:val="20"/>
                <w:szCs w:val="20"/>
              </w:rPr>
              <w:t xml:space="preserve">PARERE FAVOREVOLE </w:t>
            </w:r>
          </w:p>
          <w:p w:rsidR="00F91E0F" w:rsidRDefault="00880BF7" w:rsidP="00880BF7">
            <w:pPr>
              <w:jc w:val="both"/>
              <w:rPr>
                <w:rFonts w:ascii="Verdana" w:hAnsi="Verdana"/>
                <w:sz w:val="20"/>
                <w:szCs w:val="20"/>
              </w:rPr>
            </w:pPr>
            <w:r>
              <w:rPr>
                <w:rFonts w:ascii="Verdana" w:hAnsi="Verdana"/>
                <w:sz w:val="20"/>
                <w:szCs w:val="20"/>
              </w:rPr>
              <w:t xml:space="preserve">Lo schema di decreto disciplina l’istituto di questa </w:t>
            </w:r>
            <w:r w:rsidR="00F91E0F">
              <w:rPr>
                <w:rFonts w:ascii="Verdana" w:hAnsi="Verdana"/>
                <w:sz w:val="20"/>
                <w:szCs w:val="20"/>
              </w:rPr>
              <w:t xml:space="preserve">figura professionale </w:t>
            </w:r>
            <w:r>
              <w:rPr>
                <w:rFonts w:ascii="Verdana" w:hAnsi="Verdana"/>
                <w:sz w:val="20"/>
                <w:szCs w:val="20"/>
              </w:rPr>
              <w:t xml:space="preserve">istituita dal “Codice della nautica da diporto” </w:t>
            </w:r>
            <w:r w:rsidR="00F91E0F">
              <w:rPr>
                <w:rFonts w:ascii="Verdana" w:hAnsi="Verdana"/>
                <w:sz w:val="20"/>
                <w:szCs w:val="20"/>
              </w:rPr>
              <w:t>che richiede un</w:t>
            </w:r>
            <w:r>
              <w:rPr>
                <w:rFonts w:ascii="Verdana" w:hAnsi="Verdana"/>
                <w:sz w:val="20"/>
                <w:szCs w:val="20"/>
              </w:rPr>
              <w:t>’</w:t>
            </w:r>
            <w:r w:rsidR="00F91E0F">
              <w:rPr>
                <w:rFonts w:ascii="Verdana" w:hAnsi="Verdana"/>
                <w:sz w:val="20"/>
                <w:szCs w:val="20"/>
              </w:rPr>
              <w:t>attestazione di frequenza corso e superamento esame, organizzato dall</w:t>
            </w:r>
            <w:r>
              <w:rPr>
                <w:rFonts w:ascii="Verdana" w:hAnsi="Verdana"/>
                <w:sz w:val="20"/>
                <w:szCs w:val="20"/>
              </w:rPr>
              <w:t>e</w:t>
            </w:r>
            <w:r w:rsidR="00F91E0F">
              <w:rPr>
                <w:rFonts w:ascii="Verdana" w:hAnsi="Verdana"/>
                <w:sz w:val="20"/>
                <w:szCs w:val="20"/>
              </w:rPr>
              <w:t xml:space="preserve"> regioni.</w:t>
            </w:r>
            <w:r>
              <w:rPr>
                <w:rFonts w:ascii="Verdana" w:hAnsi="Verdana"/>
                <w:sz w:val="20"/>
                <w:szCs w:val="20"/>
              </w:rPr>
              <w:t xml:space="preserve"> </w:t>
            </w:r>
            <w:r w:rsidR="00F91E0F">
              <w:rPr>
                <w:rFonts w:ascii="Verdana" w:hAnsi="Verdana"/>
                <w:sz w:val="20"/>
                <w:szCs w:val="20"/>
              </w:rPr>
              <w:t>Lo schema disciplina anche l’iscrizione del mediatore nel registro delle imprese</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D61F98" w:rsidP="0057396E">
            <w:pPr>
              <w:jc w:val="center"/>
              <w:rPr>
                <w:rFonts w:ascii="Verdana" w:hAnsi="Verdana"/>
                <w:sz w:val="20"/>
                <w:szCs w:val="20"/>
              </w:rPr>
            </w:pPr>
            <w:r>
              <w:rPr>
                <w:rStyle w:val="Enfasigrassetto"/>
                <w:rFonts w:ascii="Verdana" w:hAnsi="Verdana"/>
                <w:sz w:val="20"/>
                <w:szCs w:val="20"/>
              </w:rPr>
              <w:t>3</w:t>
            </w:r>
          </w:p>
        </w:tc>
        <w:tc>
          <w:tcPr>
            <w:tcW w:w="1989" w:type="pct"/>
            <w:shd w:val="clear" w:color="auto" w:fill="auto"/>
          </w:tcPr>
          <w:p w:rsidR="00D61F98" w:rsidRPr="00AE6D91" w:rsidRDefault="000B68A5" w:rsidP="0057396E">
            <w:pPr>
              <w:jc w:val="both"/>
              <w:rPr>
                <w:rFonts w:ascii="Verdana" w:hAnsi="Verdana"/>
                <w:sz w:val="20"/>
                <w:szCs w:val="20"/>
              </w:rPr>
            </w:pPr>
            <w:hyperlink r:id="rId6" w:history="1">
              <w:r w:rsidR="00D61F98">
                <w:rPr>
                  <w:rFonts w:ascii="Verdana" w:hAnsi="Verdana"/>
                  <w:sz w:val="20"/>
                  <w:szCs w:val="20"/>
                </w:rPr>
                <w:t>Designazione,</w:t>
              </w:r>
            </w:hyperlink>
            <w:r w:rsidR="00D61F98">
              <w:rPr>
                <w:rFonts w:ascii="Verdana" w:hAnsi="Verdana"/>
                <w:sz w:val="20"/>
                <w:szCs w:val="20"/>
              </w:rPr>
              <w:t xml:space="preserve"> in sostituzione, ai sensi dell’articolo 21, comma 4, del </w:t>
            </w:r>
            <w:proofErr w:type="gramStart"/>
            <w:r w:rsidR="00D61F98">
              <w:rPr>
                <w:rFonts w:ascii="Verdana" w:hAnsi="Verdana"/>
                <w:sz w:val="20"/>
                <w:szCs w:val="20"/>
              </w:rPr>
              <w:t>decreto legge</w:t>
            </w:r>
            <w:proofErr w:type="gramEnd"/>
            <w:r w:rsidR="00D61F98">
              <w:rPr>
                <w:rFonts w:ascii="Verdana" w:hAnsi="Verdana"/>
                <w:sz w:val="20"/>
                <w:szCs w:val="20"/>
              </w:rPr>
              <w:t xml:space="preserve"> 22 giugno 2012, di un rappresentante nel Comitato di indirizzo dell’Agenzia per l’Italia digitale (AGENZIA PER L’ITALIA DIGITALE-PUBBLICA AMMINISTRAZIONE)</w:t>
            </w:r>
          </w:p>
        </w:tc>
        <w:tc>
          <w:tcPr>
            <w:tcW w:w="657" w:type="pct"/>
            <w:shd w:val="clear" w:color="auto" w:fill="auto"/>
          </w:tcPr>
          <w:p w:rsidR="00D61F98" w:rsidRDefault="00D61F98" w:rsidP="0057396E">
            <w:pPr>
              <w:jc w:val="center"/>
              <w:rPr>
                <w:rFonts w:ascii="Verdana" w:hAnsi="Verdana"/>
                <w:sz w:val="20"/>
                <w:szCs w:val="20"/>
              </w:rPr>
            </w:pPr>
            <w:r>
              <w:rPr>
                <w:rFonts w:ascii="Verdana" w:hAnsi="Verdana"/>
                <w:sz w:val="20"/>
                <w:szCs w:val="20"/>
              </w:rPr>
              <w:t>PALOMBELLI</w:t>
            </w:r>
          </w:p>
        </w:tc>
        <w:tc>
          <w:tcPr>
            <w:tcW w:w="1888" w:type="pct"/>
            <w:shd w:val="clear" w:color="auto" w:fill="FFFFFF" w:themeFill="background1"/>
          </w:tcPr>
          <w:p w:rsidR="00D61F98" w:rsidRPr="00880BF7" w:rsidRDefault="00880BF7" w:rsidP="00D61F98">
            <w:pPr>
              <w:jc w:val="both"/>
              <w:rPr>
                <w:rFonts w:ascii="Verdana" w:hAnsi="Verdana"/>
                <w:i/>
                <w:sz w:val="20"/>
                <w:szCs w:val="20"/>
              </w:rPr>
            </w:pPr>
            <w:r w:rsidRPr="00880BF7">
              <w:rPr>
                <w:rFonts w:ascii="Verdana" w:hAnsi="Verdana"/>
                <w:i/>
                <w:sz w:val="20"/>
                <w:szCs w:val="20"/>
              </w:rPr>
              <w:t>Designazione Regioni</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D61F98" w:rsidP="0057396E">
            <w:pPr>
              <w:jc w:val="center"/>
              <w:rPr>
                <w:rFonts w:ascii="Verdana" w:hAnsi="Verdana"/>
                <w:sz w:val="20"/>
                <w:szCs w:val="20"/>
              </w:rPr>
            </w:pPr>
            <w:r>
              <w:rPr>
                <w:rStyle w:val="Enfasigrassetto"/>
                <w:rFonts w:ascii="Verdana" w:hAnsi="Verdana"/>
                <w:sz w:val="20"/>
                <w:szCs w:val="20"/>
              </w:rPr>
              <w:t>4</w:t>
            </w:r>
          </w:p>
        </w:tc>
        <w:tc>
          <w:tcPr>
            <w:tcW w:w="1989" w:type="pct"/>
            <w:shd w:val="clear" w:color="auto" w:fill="FFFFFF" w:themeFill="background1"/>
          </w:tcPr>
          <w:p w:rsidR="00D61F98" w:rsidRPr="00ED761B" w:rsidRDefault="00D61F98" w:rsidP="0057396E">
            <w:pPr>
              <w:jc w:val="both"/>
              <w:rPr>
                <w:rFonts w:ascii="Verdana" w:hAnsi="Verdana"/>
                <w:sz w:val="20"/>
                <w:szCs w:val="20"/>
              </w:rPr>
            </w:pPr>
            <w:r>
              <w:rPr>
                <w:rFonts w:ascii="Verdana" w:hAnsi="Verdana"/>
                <w:sz w:val="20"/>
                <w:szCs w:val="20"/>
              </w:rPr>
              <w:t xml:space="preserve">Presa d’atto, ai sensi dell’articolo 13, comma 1, del decreto del Ministro dello sviluppo economico 11 gennaio 2017, del Rapporto annuali sul meccanismo dei certificati bianchi 2018 (SVILUPPO ECONOMICO- AMBIENTE E TUTELA DEL TERRITORIO E DEL MARE) </w:t>
            </w:r>
          </w:p>
        </w:tc>
        <w:tc>
          <w:tcPr>
            <w:tcW w:w="657" w:type="pct"/>
            <w:shd w:val="clear" w:color="auto" w:fill="FFFFFF" w:themeFill="background1"/>
          </w:tcPr>
          <w:p w:rsidR="00D61F98" w:rsidRDefault="00D61F98" w:rsidP="0057396E">
            <w:pPr>
              <w:jc w:val="center"/>
              <w:rPr>
                <w:rFonts w:ascii="Verdana" w:hAnsi="Verdana"/>
                <w:sz w:val="20"/>
                <w:szCs w:val="20"/>
              </w:rPr>
            </w:pPr>
            <w:r>
              <w:rPr>
                <w:rFonts w:ascii="Verdana" w:hAnsi="Verdana"/>
                <w:sz w:val="20"/>
                <w:szCs w:val="20"/>
              </w:rPr>
              <w:t>GOTTARDI</w:t>
            </w:r>
          </w:p>
        </w:tc>
        <w:tc>
          <w:tcPr>
            <w:tcW w:w="1888" w:type="pct"/>
            <w:shd w:val="clear" w:color="auto" w:fill="FFFFFF" w:themeFill="background1"/>
          </w:tcPr>
          <w:p w:rsidR="00D61F98" w:rsidRPr="00880BF7" w:rsidRDefault="00880BF7" w:rsidP="0057396E">
            <w:pPr>
              <w:jc w:val="both"/>
              <w:rPr>
                <w:rFonts w:ascii="Verdana" w:hAnsi="Verdana"/>
                <w:i/>
                <w:sz w:val="20"/>
                <w:szCs w:val="20"/>
              </w:rPr>
            </w:pPr>
            <w:r w:rsidRPr="00880BF7">
              <w:rPr>
                <w:rFonts w:ascii="Verdana" w:hAnsi="Verdana"/>
                <w:i/>
                <w:sz w:val="20"/>
                <w:szCs w:val="20"/>
              </w:rPr>
              <w:t>Presa d’atto</w:t>
            </w:r>
          </w:p>
          <w:p w:rsidR="00880BF7" w:rsidRDefault="00880BF7" w:rsidP="001B73AE">
            <w:pPr>
              <w:jc w:val="both"/>
              <w:rPr>
                <w:rFonts w:ascii="Verdana" w:hAnsi="Verdana"/>
                <w:sz w:val="20"/>
                <w:szCs w:val="20"/>
              </w:rPr>
            </w:pPr>
            <w:r>
              <w:rPr>
                <w:rFonts w:ascii="Verdana" w:hAnsi="Verdana"/>
                <w:sz w:val="20"/>
                <w:szCs w:val="20"/>
              </w:rPr>
              <w:t>La Relazione, predisposta annualmente dal GSE, contiene le informazioni su numero e tipologia deli progetti di risparmio energetico dei distributori, i risparmi ottenuti, il numero di certificati bianchi e l’andamento delle relative transazioni</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D61F98" w:rsidP="0057396E">
            <w:pPr>
              <w:jc w:val="center"/>
              <w:rPr>
                <w:rStyle w:val="Enfasigrassetto"/>
                <w:rFonts w:ascii="Verdana" w:hAnsi="Verdana"/>
                <w:sz w:val="20"/>
                <w:szCs w:val="20"/>
              </w:rPr>
            </w:pPr>
            <w:r>
              <w:rPr>
                <w:rStyle w:val="Enfasigrassetto"/>
                <w:rFonts w:ascii="Verdana" w:hAnsi="Verdana"/>
                <w:sz w:val="20"/>
                <w:szCs w:val="20"/>
              </w:rPr>
              <w:lastRenderedPageBreak/>
              <w:t>5</w:t>
            </w:r>
            <w:r>
              <w:rPr>
                <w:rStyle w:val="Enfasigrassetto"/>
              </w:rPr>
              <w:t xml:space="preserve"> </w:t>
            </w:r>
          </w:p>
        </w:tc>
        <w:tc>
          <w:tcPr>
            <w:tcW w:w="1989" w:type="pct"/>
            <w:shd w:val="clear" w:color="auto" w:fill="FFFFFF" w:themeFill="background1"/>
          </w:tcPr>
          <w:p w:rsidR="00D61F98" w:rsidRDefault="00D61F98" w:rsidP="0057396E">
            <w:pPr>
              <w:jc w:val="both"/>
              <w:rPr>
                <w:rFonts w:ascii="Verdana" w:hAnsi="Verdana"/>
                <w:sz w:val="20"/>
                <w:szCs w:val="20"/>
              </w:rPr>
            </w:pPr>
            <w:r>
              <w:rPr>
                <w:rFonts w:ascii="Verdana" w:hAnsi="Verdana"/>
                <w:sz w:val="20"/>
                <w:szCs w:val="20"/>
              </w:rPr>
              <w:t xml:space="preserve">Intesa ai sensi dell’articolo 182, comma 1- quinquies del decreto legislativo 22 gennaio 2004, n. 42 e successive </w:t>
            </w:r>
            <w:r w:rsidR="004C2A87">
              <w:rPr>
                <w:rFonts w:ascii="Verdana" w:hAnsi="Verdana"/>
                <w:sz w:val="20"/>
                <w:szCs w:val="20"/>
              </w:rPr>
              <w:t>modificazioni</w:t>
            </w:r>
            <w:r>
              <w:rPr>
                <w:rFonts w:ascii="Verdana" w:hAnsi="Verdana"/>
                <w:sz w:val="20"/>
                <w:szCs w:val="20"/>
              </w:rPr>
              <w:t xml:space="preserve">, recante “codice dei beni culturali e del paesaggio” sullo schema di decreto del Ministro per i beni e le attività culturali di concerto con il Ministro dell’istruzione, dell’università e della ricerca avente ad oggetto regolamento recante la disciplina delle modalità per lo svolgimento della prova di idoneità, con valore di esame di Stato abilitante, finalizzata al conseguimento della qualifica di restauratore di beni culturali. (BENI E ATTIVITA’ CULTURALI – ISTRUZIONE, UNIVERSITA’ E RICERCA) </w:t>
            </w:r>
          </w:p>
        </w:tc>
        <w:tc>
          <w:tcPr>
            <w:tcW w:w="657" w:type="pct"/>
            <w:shd w:val="clear" w:color="auto" w:fill="FFFFFF" w:themeFill="background1"/>
          </w:tcPr>
          <w:p w:rsidR="00D61F98" w:rsidRDefault="004C2A87" w:rsidP="0057396E">
            <w:pPr>
              <w:jc w:val="center"/>
              <w:rPr>
                <w:rFonts w:ascii="Verdana" w:hAnsi="Verdana"/>
                <w:sz w:val="20"/>
                <w:szCs w:val="20"/>
              </w:rPr>
            </w:pPr>
            <w:r>
              <w:rPr>
                <w:rFonts w:ascii="Verdana" w:hAnsi="Verdana"/>
                <w:sz w:val="20"/>
                <w:szCs w:val="20"/>
              </w:rPr>
              <w:t>GIOVANNINI</w:t>
            </w:r>
          </w:p>
        </w:tc>
        <w:tc>
          <w:tcPr>
            <w:tcW w:w="1888" w:type="pct"/>
            <w:shd w:val="clear" w:color="auto" w:fill="FFFFFF" w:themeFill="background1"/>
          </w:tcPr>
          <w:p w:rsidR="004C2A87" w:rsidRPr="00B44562" w:rsidRDefault="00B44562" w:rsidP="004C2A87">
            <w:pPr>
              <w:jc w:val="both"/>
              <w:rPr>
                <w:rFonts w:ascii="Verdana" w:hAnsi="Verdana"/>
                <w:i/>
                <w:sz w:val="20"/>
                <w:szCs w:val="20"/>
              </w:rPr>
            </w:pPr>
            <w:r w:rsidRPr="00B44562">
              <w:rPr>
                <w:rFonts w:ascii="Verdana" w:hAnsi="Verdana"/>
                <w:i/>
                <w:sz w:val="20"/>
                <w:szCs w:val="20"/>
              </w:rPr>
              <w:t>Parere favorevole</w:t>
            </w:r>
            <w:r w:rsidR="00F90006">
              <w:rPr>
                <w:rFonts w:ascii="Verdana" w:hAnsi="Verdana"/>
                <w:i/>
                <w:sz w:val="20"/>
                <w:szCs w:val="20"/>
              </w:rPr>
              <w:t xml:space="preserve"> all’Intesa Regioni Anci UPI</w:t>
            </w:r>
          </w:p>
          <w:p w:rsidR="004C2A87" w:rsidRPr="00B44562" w:rsidRDefault="004C2A87" w:rsidP="004C2A87">
            <w:pPr>
              <w:jc w:val="both"/>
              <w:rPr>
                <w:rFonts w:ascii="Verdana" w:hAnsi="Verdana"/>
                <w:sz w:val="20"/>
                <w:szCs w:val="20"/>
              </w:rPr>
            </w:pPr>
            <w:r w:rsidRPr="00B44562">
              <w:rPr>
                <w:rFonts w:ascii="Verdana" w:hAnsi="Verdana"/>
                <w:sz w:val="20"/>
                <w:szCs w:val="20"/>
              </w:rPr>
              <w:t>Si tratta di un regolamento che disciplina le modalità dello svolgimento delle prove di idoneità per il conseguimento della qualifica di restauratore di beni culturali.</w:t>
            </w:r>
          </w:p>
          <w:p w:rsidR="00D61F98" w:rsidRDefault="00D61F98" w:rsidP="004C2A87">
            <w:pPr>
              <w:jc w:val="both"/>
              <w:rPr>
                <w:rFonts w:ascii="Verdana" w:hAnsi="Verdana"/>
                <w:sz w:val="20"/>
                <w:szCs w:val="20"/>
                <w:u w:val="single"/>
              </w:rPr>
            </w:pP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4C2A87" w:rsidP="0057396E">
            <w:pPr>
              <w:jc w:val="center"/>
              <w:rPr>
                <w:rStyle w:val="Enfasigrassetto"/>
                <w:rFonts w:ascii="Verdana" w:hAnsi="Verdana"/>
                <w:sz w:val="20"/>
                <w:szCs w:val="20"/>
              </w:rPr>
            </w:pPr>
            <w:r>
              <w:rPr>
                <w:rStyle w:val="Enfasigrassetto"/>
                <w:rFonts w:ascii="Verdana" w:hAnsi="Verdana"/>
                <w:sz w:val="20"/>
                <w:szCs w:val="20"/>
              </w:rPr>
              <w:t>6</w:t>
            </w:r>
          </w:p>
        </w:tc>
        <w:tc>
          <w:tcPr>
            <w:tcW w:w="1989" w:type="pct"/>
            <w:shd w:val="clear" w:color="auto" w:fill="FFFFFF" w:themeFill="background1"/>
          </w:tcPr>
          <w:p w:rsidR="00D61F98" w:rsidRDefault="00D61F98" w:rsidP="001B73AE">
            <w:pPr>
              <w:jc w:val="both"/>
              <w:rPr>
                <w:rFonts w:ascii="Verdana" w:hAnsi="Verdana"/>
                <w:sz w:val="20"/>
                <w:szCs w:val="20"/>
              </w:rPr>
            </w:pPr>
            <w:r>
              <w:rPr>
                <w:rFonts w:ascii="Verdana" w:hAnsi="Verdana"/>
                <w:sz w:val="20"/>
                <w:szCs w:val="20"/>
              </w:rPr>
              <w:t xml:space="preserve">Intesa </w:t>
            </w:r>
            <w:r w:rsidR="004C2A87">
              <w:rPr>
                <w:rFonts w:ascii="Verdana" w:hAnsi="Verdana"/>
                <w:sz w:val="20"/>
                <w:szCs w:val="20"/>
              </w:rPr>
              <w:t>sullo schema di decreto del Capo del Dipartimento per gli affari regionali e le autonomie concernente il Bando per accedere alle annualità 2018-2019 ed ai residui 2014-2017 del Fondo integrativo nazionale per i comuni montani, ai sensi dell’articolo 1, commi 319, 320, 321 della legge 24 dicembre 2012, n 228 “legge di stabilità 2013” e del decreto del Ministro per gli affari regionali e le autonomie 16 gennaio 2014 (AMBIENTE E TUTELA DEL TERRITORIO E DEL MARE)</w:t>
            </w:r>
          </w:p>
        </w:tc>
        <w:tc>
          <w:tcPr>
            <w:tcW w:w="657" w:type="pct"/>
            <w:shd w:val="clear" w:color="auto" w:fill="FFFFFF" w:themeFill="background1"/>
          </w:tcPr>
          <w:p w:rsidR="00D61F98" w:rsidRDefault="004C2A87" w:rsidP="0057396E">
            <w:pPr>
              <w:jc w:val="center"/>
              <w:rPr>
                <w:rFonts w:ascii="Verdana" w:hAnsi="Verdana"/>
                <w:sz w:val="20"/>
                <w:szCs w:val="20"/>
              </w:rPr>
            </w:pPr>
            <w:r>
              <w:rPr>
                <w:rFonts w:ascii="Verdana" w:hAnsi="Verdana"/>
                <w:sz w:val="20"/>
                <w:szCs w:val="20"/>
              </w:rPr>
              <w:t>PALOMBELLI</w:t>
            </w:r>
          </w:p>
          <w:p w:rsidR="004C2A87" w:rsidRDefault="004C2A87" w:rsidP="0057396E">
            <w:pPr>
              <w:jc w:val="center"/>
              <w:rPr>
                <w:rFonts w:ascii="Verdana" w:hAnsi="Verdana"/>
                <w:sz w:val="20"/>
                <w:szCs w:val="20"/>
              </w:rPr>
            </w:pPr>
          </w:p>
        </w:tc>
        <w:tc>
          <w:tcPr>
            <w:tcW w:w="1888" w:type="pct"/>
            <w:shd w:val="clear" w:color="auto" w:fill="FFFFFF" w:themeFill="background1"/>
          </w:tcPr>
          <w:p w:rsidR="007811E5" w:rsidRDefault="007811E5" w:rsidP="007811E5">
            <w:pPr>
              <w:jc w:val="both"/>
              <w:rPr>
                <w:rFonts w:ascii="Verdana" w:hAnsi="Verdana"/>
                <w:i/>
                <w:sz w:val="20"/>
                <w:szCs w:val="20"/>
              </w:rPr>
            </w:pPr>
            <w:r>
              <w:rPr>
                <w:rFonts w:ascii="Verdana" w:hAnsi="Verdana"/>
                <w:i/>
                <w:sz w:val="20"/>
                <w:szCs w:val="20"/>
              </w:rPr>
              <w:t>Possibile richiesta rinvio di Regioni ed Anci per supplemento istruttoria</w:t>
            </w:r>
          </w:p>
          <w:p w:rsidR="00E01CC8" w:rsidRPr="000D1DC8" w:rsidRDefault="00CC7191" w:rsidP="007811E5">
            <w:pPr>
              <w:jc w:val="both"/>
              <w:rPr>
                <w:rFonts w:ascii="Verdana" w:hAnsi="Verdana"/>
                <w:sz w:val="20"/>
                <w:szCs w:val="20"/>
              </w:rPr>
            </w:pPr>
            <w:r>
              <w:rPr>
                <w:rFonts w:ascii="Verdana" w:hAnsi="Verdana"/>
                <w:sz w:val="20"/>
                <w:szCs w:val="20"/>
              </w:rPr>
              <w:t>Il Fondo nazionale integrativo per i comuni montani serve a finanziare progetti dei comuni montani, singoli o aggregati, con diverse finalità, tra cui turismo, dissesto e salvaguardia ambiente</w:t>
            </w:r>
            <w:r w:rsidR="000A0272">
              <w:rPr>
                <w:rFonts w:ascii="Verdana" w:hAnsi="Verdana"/>
                <w:sz w:val="20"/>
                <w:szCs w:val="20"/>
              </w:rPr>
              <w:t xml:space="preserve">, interventi inerenti </w:t>
            </w:r>
            <w:proofErr w:type="gramStart"/>
            <w:r w:rsidR="000A0272">
              <w:rPr>
                <w:rFonts w:ascii="Verdana" w:hAnsi="Verdana"/>
                <w:sz w:val="20"/>
                <w:szCs w:val="20"/>
              </w:rPr>
              <w:t>la</w:t>
            </w:r>
            <w:proofErr w:type="gramEnd"/>
            <w:r w:rsidR="000A0272">
              <w:rPr>
                <w:rFonts w:ascii="Verdana" w:hAnsi="Verdana"/>
                <w:sz w:val="20"/>
                <w:szCs w:val="20"/>
              </w:rPr>
              <w:t xml:space="preserve"> dichiarazione di emergenza dell’ottobre 2018</w:t>
            </w:r>
            <w:r>
              <w:rPr>
                <w:rFonts w:ascii="Verdana" w:hAnsi="Verdana"/>
                <w:sz w:val="20"/>
                <w:szCs w:val="20"/>
              </w:rPr>
              <w:t>. Stanziamento complessivo 16,2 milioni di cui 7,8 per residui 2014-2017, 4 per l’annualità 2018 e 4,5 per l’annualità 2019. I criteri di riparto sono individuati</w:t>
            </w:r>
            <w:r w:rsidR="000A0272">
              <w:rPr>
                <w:rFonts w:ascii="Verdana" w:hAnsi="Verdana"/>
                <w:sz w:val="20"/>
                <w:szCs w:val="20"/>
              </w:rPr>
              <w:t xml:space="preserve"> congiuntamente tra Amministrazioni centrali e </w:t>
            </w:r>
            <w:r>
              <w:rPr>
                <w:rFonts w:ascii="Verdana" w:hAnsi="Verdana"/>
                <w:sz w:val="20"/>
                <w:szCs w:val="20"/>
              </w:rPr>
              <w:t>Regioni</w:t>
            </w:r>
            <w:r w:rsidR="000A0272">
              <w:rPr>
                <w:rFonts w:ascii="Verdana" w:hAnsi="Verdana"/>
                <w:sz w:val="20"/>
                <w:szCs w:val="20"/>
              </w:rPr>
              <w:t>.</w:t>
            </w:r>
            <w:r w:rsidR="007811E5">
              <w:rPr>
                <w:rFonts w:ascii="Verdana" w:hAnsi="Verdana"/>
                <w:sz w:val="20"/>
                <w:szCs w:val="20"/>
              </w:rPr>
              <w:t xml:space="preserve"> Queste ultime hanno formulato richieste di chiarimenti in ordine alle competenze in materia di procedimenti istruttori. </w:t>
            </w:r>
            <w:r>
              <w:rPr>
                <w:rFonts w:ascii="Verdana" w:hAnsi="Verdana"/>
                <w:sz w:val="20"/>
                <w:szCs w:val="20"/>
              </w:rPr>
              <w:t xml:space="preserve"> </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D61F98" w:rsidRPr="00277219" w:rsidTr="001B73AE">
        <w:trPr>
          <w:trHeight w:val="235"/>
        </w:trPr>
        <w:tc>
          <w:tcPr>
            <w:tcW w:w="119" w:type="pct"/>
            <w:shd w:val="clear" w:color="auto" w:fill="auto"/>
          </w:tcPr>
          <w:p w:rsidR="00D61F98" w:rsidRDefault="004C2A87" w:rsidP="0057396E">
            <w:pPr>
              <w:jc w:val="center"/>
              <w:rPr>
                <w:rStyle w:val="Enfasigrassetto"/>
                <w:rFonts w:ascii="Verdana" w:hAnsi="Verdana"/>
                <w:sz w:val="20"/>
                <w:szCs w:val="20"/>
              </w:rPr>
            </w:pPr>
            <w:r>
              <w:rPr>
                <w:rStyle w:val="Enfasigrassetto"/>
                <w:rFonts w:ascii="Verdana" w:hAnsi="Verdana"/>
                <w:sz w:val="20"/>
                <w:szCs w:val="20"/>
              </w:rPr>
              <w:t>7</w:t>
            </w:r>
          </w:p>
        </w:tc>
        <w:tc>
          <w:tcPr>
            <w:tcW w:w="1989" w:type="pct"/>
            <w:shd w:val="clear" w:color="auto" w:fill="FFFFFF" w:themeFill="background1"/>
          </w:tcPr>
          <w:p w:rsidR="00D61F98" w:rsidRDefault="004C2A87" w:rsidP="0057396E">
            <w:pPr>
              <w:jc w:val="both"/>
              <w:rPr>
                <w:rFonts w:ascii="Verdana" w:hAnsi="Verdana"/>
                <w:sz w:val="20"/>
                <w:szCs w:val="20"/>
              </w:rPr>
            </w:pPr>
            <w:r>
              <w:rPr>
                <w:rFonts w:ascii="Verdana" w:hAnsi="Verdana"/>
                <w:sz w:val="20"/>
                <w:szCs w:val="20"/>
              </w:rPr>
              <w:t>Acquisizione della designazione, ai sensi dell’articolo 9, comma 2, lettera d) del decreto legislativo 28 agosto 1997, n. 281, in sostituzione di un rappresentante regionali, in seno al Consiglio superiore della pubblica istruzione, ai sensi dell’articolo 2, comma 5, lettera b) del decreto legislativo 30 giugno 1999, n. 233 (ISTRUZIONE)</w:t>
            </w:r>
          </w:p>
        </w:tc>
        <w:tc>
          <w:tcPr>
            <w:tcW w:w="657" w:type="pct"/>
            <w:shd w:val="clear" w:color="auto" w:fill="FFFFFF" w:themeFill="background1"/>
          </w:tcPr>
          <w:p w:rsidR="00D61F98" w:rsidRDefault="00D61F98" w:rsidP="0057396E">
            <w:pPr>
              <w:jc w:val="center"/>
              <w:rPr>
                <w:rFonts w:ascii="Verdana" w:hAnsi="Verdana"/>
                <w:sz w:val="20"/>
                <w:szCs w:val="20"/>
              </w:rPr>
            </w:pPr>
            <w:r>
              <w:rPr>
                <w:rFonts w:ascii="Verdana" w:hAnsi="Verdana"/>
                <w:sz w:val="20"/>
                <w:szCs w:val="20"/>
              </w:rPr>
              <w:t>GIOVANNINI</w:t>
            </w:r>
          </w:p>
        </w:tc>
        <w:tc>
          <w:tcPr>
            <w:tcW w:w="1888" w:type="pct"/>
            <w:shd w:val="clear" w:color="auto" w:fill="FFFFFF" w:themeFill="background1"/>
          </w:tcPr>
          <w:p w:rsidR="00D61F98" w:rsidRPr="000A0272" w:rsidRDefault="000A0272" w:rsidP="0057396E">
            <w:pPr>
              <w:jc w:val="both"/>
              <w:rPr>
                <w:rFonts w:ascii="Verdana" w:hAnsi="Verdana"/>
                <w:i/>
                <w:sz w:val="20"/>
                <w:szCs w:val="20"/>
              </w:rPr>
            </w:pPr>
            <w:r w:rsidRPr="000A0272">
              <w:rPr>
                <w:rFonts w:ascii="Verdana" w:hAnsi="Verdana"/>
                <w:i/>
                <w:sz w:val="20"/>
                <w:szCs w:val="20"/>
              </w:rPr>
              <w:t>Designazione Regioni</w:t>
            </w:r>
          </w:p>
        </w:tc>
        <w:tc>
          <w:tcPr>
            <w:tcW w:w="347" w:type="pct"/>
            <w:shd w:val="clear" w:color="auto" w:fill="FFFFFF" w:themeFill="background1"/>
          </w:tcPr>
          <w:p w:rsidR="00D61F98" w:rsidRPr="00277219" w:rsidRDefault="00D61F98" w:rsidP="0057396E">
            <w:pPr>
              <w:spacing w:after="0" w:line="240" w:lineRule="auto"/>
              <w:jc w:val="center"/>
              <w:rPr>
                <w:rFonts w:ascii="Verdana" w:eastAsia="Times New Roman" w:hAnsi="Verdana" w:cs="Times New Roman"/>
                <w:sz w:val="20"/>
                <w:szCs w:val="20"/>
                <w:lang w:eastAsia="it-IT"/>
              </w:rPr>
            </w:pPr>
          </w:p>
        </w:tc>
      </w:tr>
      <w:tr w:rsidR="004C2A87" w:rsidRPr="00277219" w:rsidTr="001B73AE">
        <w:trPr>
          <w:trHeight w:val="235"/>
        </w:trPr>
        <w:tc>
          <w:tcPr>
            <w:tcW w:w="119" w:type="pct"/>
            <w:shd w:val="clear" w:color="auto" w:fill="auto"/>
          </w:tcPr>
          <w:p w:rsidR="004C2A87" w:rsidRDefault="004C2A87" w:rsidP="0057396E">
            <w:pPr>
              <w:jc w:val="center"/>
              <w:rPr>
                <w:rStyle w:val="Enfasigrassetto"/>
                <w:rFonts w:ascii="Verdana" w:hAnsi="Verdana"/>
                <w:sz w:val="20"/>
                <w:szCs w:val="20"/>
              </w:rPr>
            </w:pPr>
            <w:r>
              <w:rPr>
                <w:rStyle w:val="Enfasigrassetto"/>
                <w:rFonts w:ascii="Verdana" w:hAnsi="Verdana"/>
                <w:sz w:val="20"/>
                <w:szCs w:val="20"/>
              </w:rPr>
              <w:t>8</w:t>
            </w:r>
          </w:p>
        </w:tc>
        <w:tc>
          <w:tcPr>
            <w:tcW w:w="1989" w:type="pct"/>
            <w:shd w:val="clear" w:color="auto" w:fill="FFFFFF" w:themeFill="background1"/>
          </w:tcPr>
          <w:p w:rsidR="004C2A87" w:rsidRDefault="004C2A87" w:rsidP="0057396E">
            <w:pPr>
              <w:jc w:val="both"/>
              <w:rPr>
                <w:rFonts w:ascii="Verdana" w:hAnsi="Verdana"/>
                <w:sz w:val="20"/>
                <w:szCs w:val="20"/>
              </w:rPr>
            </w:pPr>
            <w:r>
              <w:rPr>
                <w:rFonts w:ascii="Verdana" w:hAnsi="Verdana"/>
                <w:sz w:val="20"/>
                <w:szCs w:val="20"/>
              </w:rPr>
              <w:t xml:space="preserve">Acquisizione della designazione, ai sensi dell’art. 2, comma1, lettera d) del decreto legislativo n.281 del 28 agosto 1997 del rappresentante regionali in seno alla Commissione permanente per la concessione delle attestazioni di pubblica benemerenza del Dipartimento della Protezione civile (PROTEZIONE CIVILE) </w:t>
            </w:r>
          </w:p>
        </w:tc>
        <w:tc>
          <w:tcPr>
            <w:tcW w:w="657" w:type="pct"/>
            <w:shd w:val="clear" w:color="auto" w:fill="FFFFFF" w:themeFill="background1"/>
          </w:tcPr>
          <w:p w:rsidR="004C2A87" w:rsidRDefault="004C2A87" w:rsidP="0057396E">
            <w:pPr>
              <w:jc w:val="center"/>
              <w:rPr>
                <w:rFonts w:ascii="Verdana" w:hAnsi="Verdana"/>
                <w:sz w:val="20"/>
                <w:szCs w:val="20"/>
              </w:rPr>
            </w:pPr>
            <w:r>
              <w:rPr>
                <w:rFonts w:ascii="Verdana" w:hAnsi="Verdana"/>
                <w:sz w:val="20"/>
                <w:szCs w:val="20"/>
              </w:rPr>
              <w:t>GOTTARDI</w:t>
            </w:r>
          </w:p>
        </w:tc>
        <w:tc>
          <w:tcPr>
            <w:tcW w:w="1888" w:type="pct"/>
            <w:shd w:val="clear" w:color="auto" w:fill="FFFFFF" w:themeFill="background1"/>
          </w:tcPr>
          <w:p w:rsidR="004C2A87" w:rsidRPr="000A0272" w:rsidRDefault="000A0272" w:rsidP="0057396E">
            <w:pPr>
              <w:jc w:val="both"/>
              <w:rPr>
                <w:rFonts w:ascii="Verdana" w:hAnsi="Verdana"/>
                <w:i/>
                <w:sz w:val="20"/>
                <w:szCs w:val="20"/>
              </w:rPr>
            </w:pPr>
            <w:r w:rsidRPr="000A0272">
              <w:rPr>
                <w:rFonts w:ascii="Verdana" w:hAnsi="Verdana"/>
                <w:i/>
                <w:sz w:val="20"/>
                <w:szCs w:val="20"/>
              </w:rPr>
              <w:t>Designazione Regioni</w:t>
            </w:r>
          </w:p>
        </w:tc>
        <w:tc>
          <w:tcPr>
            <w:tcW w:w="347" w:type="pct"/>
            <w:shd w:val="clear" w:color="auto" w:fill="FFFFFF" w:themeFill="background1"/>
          </w:tcPr>
          <w:p w:rsidR="004C2A87" w:rsidRPr="00277219" w:rsidRDefault="004C2A87" w:rsidP="0057396E">
            <w:pPr>
              <w:spacing w:after="0" w:line="240" w:lineRule="auto"/>
              <w:jc w:val="center"/>
              <w:rPr>
                <w:rFonts w:ascii="Verdana" w:eastAsia="Times New Roman" w:hAnsi="Verdana" w:cs="Times New Roman"/>
                <w:sz w:val="20"/>
                <w:szCs w:val="20"/>
                <w:lang w:eastAsia="it-IT"/>
              </w:rPr>
            </w:pPr>
          </w:p>
        </w:tc>
      </w:tr>
      <w:tr w:rsidR="004C2A87" w:rsidRPr="00277219" w:rsidTr="001B73AE">
        <w:trPr>
          <w:trHeight w:val="235"/>
        </w:trPr>
        <w:tc>
          <w:tcPr>
            <w:tcW w:w="119" w:type="pct"/>
            <w:shd w:val="clear" w:color="auto" w:fill="auto"/>
          </w:tcPr>
          <w:p w:rsidR="004C2A87" w:rsidRDefault="004C2A87" w:rsidP="0057396E">
            <w:pPr>
              <w:jc w:val="center"/>
              <w:rPr>
                <w:rStyle w:val="Enfasigrassetto"/>
                <w:rFonts w:ascii="Verdana" w:hAnsi="Verdana"/>
                <w:sz w:val="20"/>
                <w:szCs w:val="20"/>
              </w:rPr>
            </w:pPr>
            <w:r>
              <w:rPr>
                <w:rStyle w:val="Enfasigrassetto"/>
                <w:rFonts w:ascii="Verdana" w:hAnsi="Verdana"/>
                <w:sz w:val="20"/>
                <w:szCs w:val="20"/>
              </w:rPr>
              <w:t>9</w:t>
            </w:r>
          </w:p>
        </w:tc>
        <w:tc>
          <w:tcPr>
            <w:tcW w:w="1989" w:type="pct"/>
            <w:shd w:val="clear" w:color="auto" w:fill="FFFFFF" w:themeFill="background1"/>
          </w:tcPr>
          <w:p w:rsidR="004C2A87" w:rsidRDefault="004C2A87" w:rsidP="0057396E">
            <w:pPr>
              <w:jc w:val="both"/>
              <w:rPr>
                <w:rFonts w:ascii="Verdana" w:hAnsi="Verdana"/>
                <w:sz w:val="20"/>
                <w:szCs w:val="20"/>
              </w:rPr>
            </w:pPr>
            <w:r>
              <w:rPr>
                <w:rFonts w:ascii="Verdana" w:hAnsi="Verdana"/>
                <w:sz w:val="20"/>
                <w:szCs w:val="20"/>
              </w:rPr>
              <w:t xml:space="preserve">Intesa, ai sensi dell’articolo1, comma 140 della legge 11 dicembre 2016, n. 232, come modificato dall’articolo 13, </w:t>
            </w:r>
            <w:r>
              <w:rPr>
                <w:rFonts w:ascii="Verdana" w:hAnsi="Verdana"/>
                <w:sz w:val="20"/>
                <w:szCs w:val="20"/>
              </w:rPr>
              <w:lastRenderedPageBreak/>
              <w:t>comma 1, del decreto legge 25 luglio 2018, n. 91 e della sentenza della Corte Costituzionale 7 marzo 20918, n. 74 sul decreto del Presidente del Consiglio dei Ministri 29m aggio 2017 recante “riparto del Fondo per il finanziamento degli investimenti e lo sviluppo infrastrutturale del Paese, per il Programma straordinario di intervento per la riqualificazione urbana e la sicurezza delle periferie delle Città metropolitane e dei Comuni capoluogo di Provincia (</w:t>
            </w:r>
            <w:r w:rsidR="00F91E0F">
              <w:rPr>
                <w:rFonts w:ascii="Verdana" w:hAnsi="Verdana"/>
                <w:sz w:val="20"/>
                <w:szCs w:val="20"/>
              </w:rPr>
              <w:t>PRESIDENZA DEL CONSIGLIO DEI MINISTRI- EOCNOMIA E FINANZE)</w:t>
            </w:r>
          </w:p>
        </w:tc>
        <w:tc>
          <w:tcPr>
            <w:tcW w:w="657" w:type="pct"/>
            <w:shd w:val="clear" w:color="auto" w:fill="FFFFFF" w:themeFill="background1"/>
          </w:tcPr>
          <w:p w:rsidR="004C2A87" w:rsidRDefault="000A0272" w:rsidP="0057396E">
            <w:pPr>
              <w:jc w:val="center"/>
              <w:rPr>
                <w:rFonts w:ascii="Verdana" w:hAnsi="Verdana"/>
                <w:sz w:val="20"/>
                <w:szCs w:val="20"/>
              </w:rPr>
            </w:pPr>
            <w:r>
              <w:rPr>
                <w:rFonts w:ascii="Verdana" w:hAnsi="Verdana"/>
                <w:sz w:val="20"/>
                <w:szCs w:val="20"/>
              </w:rPr>
              <w:lastRenderedPageBreak/>
              <w:t>GOTTARDI</w:t>
            </w:r>
          </w:p>
        </w:tc>
        <w:tc>
          <w:tcPr>
            <w:tcW w:w="1888" w:type="pct"/>
            <w:shd w:val="clear" w:color="auto" w:fill="FFFFFF" w:themeFill="background1"/>
          </w:tcPr>
          <w:p w:rsidR="004C2A87" w:rsidRPr="000A0272" w:rsidRDefault="000A0272" w:rsidP="0057396E">
            <w:pPr>
              <w:jc w:val="both"/>
              <w:rPr>
                <w:rFonts w:ascii="Verdana" w:hAnsi="Verdana"/>
                <w:i/>
                <w:sz w:val="20"/>
                <w:szCs w:val="20"/>
              </w:rPr>
            </w:pPr>
            <w:r w:rsidRPr="000A0272">
              <w:rPr>
                <w:rFonts w:ascii="Verdana" w:hAnsi="Verdana"/>
                <w:i/>
                <w:sz w:val="20"/>
                <w:szCs w:val="20"/>
              </w:rPr>
              <w:t>Parere favorevole</w:t>
            </w:r>
          </w:p>
          <w:p w:rsidR="000A0272" w:rsidRPr="002C188F" w:rsidRDefault="000A0272" w:rsidP="0057396E">
            <w:pPr>
              <w:jc w:val="both"/>
              <w:rPr>
                <w:rFonts w:ascii="Verdana" w:hAnsi="Verdana"/>
                <w:sz w:val="20"/>
                <w:szCs w:val="20"/>
              </w:rPr>
            </w:pPr>
            <w:r>
              <w:rPr>
                <w:rFonts w:ascii="Verdana" w:hAnsi="Verdana"/>
                <w:sz w:val="20"/>
                <w:szCs w:val="20"/>
              </w:rPr>
              <w:lastRenderedPageBreak/>
              <w:t>Si tratta di ottemperare all’intesa prevista ex sentenza Corte Cost n. 74/2018 relativo all’utilizzo dei fondi ex comma 140, legge n. 232/2016</w:t>
            </w:r>
          </w:p>
        </w:tc>
        <w:tc>
          <w:tcPr>
            <w:tcW w:w="347" w:type="pct"/>
            <w:shd w:val="clear" w:color="auto" w:fill="FFFFFF" w:themeFill="background1"/>
          </w:tcPr>
          <w:p w:rsidR="004C2A87" w:rsidRPr="00277219" w:rsidRDefault="004C2A87" w:rsidP="0057396E">
            <w:pPr>
              <w:spacing w:after="0" w:line="240" w:lineRule="auto"/>
              <w:jc w:val="center"/>
              <w:rPr>
                <w:rFonts w:ascii="Verdana" w:eastAsia="Times New Roman" w:hAnsi="Verdana" w:cs="Times New Roman"/>
                <w:sz w:val="20"/>
                <w:szCs w:val="20"/>
                <w:lang w:eastAsia="it-IT"/>
              </w:rPr>
            </w:pPr>
          </w:p>
        </w:tc>
      </w:tr>
      <w:tr w:rsidR="007811E5" w:rsidRPr="00277219" w:rsidTr="001B73AE">
        <w:trPr>
          <w:trHeight w:val="235"/>
        </w:trPr>
        <w:tc>
          <w:tcPr>
            <w:tcW w:w="119" w:type="pct"/>
            <w:shd w:val="clear" w:color="auto" w:fill="auto"/>
          </w:tcPr>
          <w:p w:rsidR="007811E5" w:rsidRDefault="007811E5" w:rsidP="0057396E">
            <w:pPr>
              <w:jc w:val="center"/>
              <w:rPr>
                <w:rStyle w:val="Enfasigrassetto"/>
                <w:rFonts w:ascii="Verdana" w:hAnsi="Verdana"/>
                <w:sz w:val="20"/>
                <w:szCs w:val="20"/>
              </w:rPr>
            </w:pPr>
            <w:r>
              <w:rPr>
                <w:rStyle w:val="Enfasigrassetto"/>
                <w:rFonts w:ascii="Verdana" w:hAnsi="Verdana"/>
                <w:sz w:val="20"/>
                <w:szCs w:val="20"/>
              </w:rPr>
              <w:t>10</w:t>
            </w:r>
          </w:p>
        </w:tc>
        <w:tc>
          <w:tcPr>
            <w:tcW w:w="1989" w:type="pct"/>
            <w:shd w:val="clear" w:color="auto" w:fill="FFFFFF" w:themeFill="background1"/>
          </w:tcPr>
          <w:p w:rsidR="007811E5" w:rsidRDefault="007811E5" w:rsidP="0057396E">
            <w:pPr>
              <w:jc w:val="both"/>
              <w:rPr>
                <w:rFonts w:ascii="Verdana" w:hAnsi="Verdana"/>
                <w:sz w:val="20"/>
                <w:szCs w:val="20"/>
              </w:rPr>
            </w:pPr>
            <w:r>
              <w:rPr>
                <w:rFonts w:ascii="Verdana" w:hAnsi="Verdana"/>
                <w:sz w:val="20"/>
                <w:szCs w:val="20"/>
              </w:rPr>
              <w:t xml:space="preserve">Intesa, ai sensi dell’articolo 8, comma 6, della legge 5 giugno 2003, n. 131, tra il Governo, le Regioni, le Province autonome di Trento e Bolzano e gli Enti locali sulla ripartizione per l’anno 2019 del “fondo nazionale per le politiche giovanili di cui all’articolo </w:t>
            </w:r>
            <w:proofErr w:type="gramStart"/>
            <w:r>
              <w:rPr>
                <w:rFonts w:ascii="Verdana" w:hAnsi="Verdana"/>
                <w:sz w:val="20"/>
                <w:szCs w:val="20"/>
              </w:rPr>
              <w:t>19,,</w:t>
            </w:r>
            <w:proofErr w:type="gramEnd"/>
            <w:r>
              <w:rPr>
                <w:rFonts w:ascii="Verdana" w:hAnsi="Verdana"/>
                <w:sz w:val="20"/>
                <w:szCs w:val="20"/>
              </w:rPr>
              <w:t xml:space="preserve"> comma 2 del decreto legge 4 luglio 2006, n. 223, convertito, con modificazioni dalla legge 4 agosto 2006, n. 248 (DIPARTIMENTO GIOVENTU’)</w:t>
            </w:r>
          </w:p>
        </w:tc>
        <w:tc>
          <w:tcPr>
            <w:tcW w:w="657" w:type="pct"/>
            <w:shd w:val="clear" w:color="auto" w:fill="FFFFFF" w:themeFill="background1"/>
          </w:tcPr>
          <w:p w:rsidR="007811E5" w:rsidRDefault="007811E5" w:rsidP="0057396E">
            <w:pPr>
              <w:jc w:val="center"/>
              <w:rPr>
                <w:rFonts w:ascii="Verdana" w:hAnsi="Verdana"/>
                <w:sz w:val="20"/>
                <w:szCs w:val="20"/>
              </w:rPr>
            </w:pPr>
            <w:r>
              <w:rPr>
                <w:rFonts w:ascii="Verdana" w:hAnsi="Verdana"/>
                <w:sz w:val="20"/>
                <w:szCs w:val="20"/>
              </w:rPr>
              <w:t>GIOVANNINI</w:t>
            </w:r>
          </w:p>
        </w:tc>
        <w:tc>
          <w:tcPr>
            <w:tcW w:w="1888" w:type="pct"/>
            <w:shd w:val="clear" w:color="auto" w:fill="FFFFFF" w:themeFill="background1"/>
          </w:tcPr>
          <w:p w:rsidR="007811E5" w:rsidRPr="000B68A5" w:rsidRDefault="007811E5" w:rsidP="0057396E">
            <w:pPr>
              <w:jc w:val="both"/>
              <w:rPr>
                <w:rFonts w:ascii="Verdana" w:hAnsi="Verdana"/>
                <w:b/>
                <w:i/>
                <w:sz w:val="20"/>
                <w:szCs w:val="20"/>
              </w:rPr>
            </w:pPr>
            <w:bookmarkStart w:id="0" w:name="_GoBack"/>
            <w:r w:rsidRPr="000B68A5">
              <w:rPr>
                <w:rFonts w:ascii="Verdana" w:hAnsi="Verdana"/>
                <w:b/>
                <w:i/>
                <w:sz w:val="20"/>
                <w:szCs w:val="20"/>
              </w:rPr>
              <w:t>Intesa subordinata all’accoglimento degli emendamenti UPI depositati nella riunione tecnica odierna, finalizzati al ripristino del ruolo UPI nell’attività di messa a bando dei progetti finanziati dal fondo</w:t>
            </w:r>
            <w:bookmarkEnd w:id="0"/>
          </w:p>
        </w:tc>
        <w:tc>
          <w:tcPr>
            <w:tcW w:w="347" w:type="pct"/>
            <w:shd w:val="clear" w:color="auto" w:fill="FFFFFF" w:themeFill="background1"/>
          </w:tcPr>
          <w:p w:rsidR="007811E5" w:rsidRPr="00277219" w:rsidRDefault="007811E5" w:rsidP="0057396E">
            <w:pPr>
              <w:spacing w:after="0" w:line="240" w:lineRule="auto"/>
              <w:jc w:val="center"/>
              <w:rPr>
                <w:rFonts w:ascii="Verdana" w:eastAsia="Times New Roman" w:hAnsi="Verdana" w:cs="Times New Roman"/>
                <w:sz w:val="20"/>
                <w:szCs w:val="20"/>
                <w:lang w:eastAsia="it-IT"/>
              </w:rPr>
            </w:pPr>
          </w:p>
        </w:tc>
      </w:tr>
    </w:tbl>
    <w:p w:rsidR="00D61F98" w:rsidRPr="00277219" w:rsidRDefault="00D61F98" w:rsidP="00D61F98">
      <w:pPr>
        <w:spacing w:after="0" w:line="240" w:lineRule="auto"/>
        <w:rPr>
          <w:rFonts w:ascii="Times New Roman" w:eastAsia="Times New Roman" w:hAnsi="Times New Roman" w:cs="Times New Roman"/>
          <w:sz w:val="24"/>
          <w:szCs w:val="24"/>
          <w:lang w:eastAsia="it-IT"/>
        </w:rPr>
      </w:pPr>
    </w:p>
    <w:p w:rsidR="008F4C73" w:rsidRDefault="008F4C73"/>
    <w:sectPr w:rsidR="008F4C73" w:rsidSect="00473D2C">
      <w:pgSz w:w="16838" w:h="11906" w:orient="landscape"/>
      <w:pgMar w:top="360" w:right="1417" w:bottom="18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98"/>
    <w:rsid w:val="000A0272"/>
    <w:rsid w:val="000B68A5"/>
    <w:rsid w:val="000C6033"/>
    <w:rsid w:val="001B73AE"/>
    <w:rsid w:val="004C2A87"/>
    <w:rsid w:val="007811E5"/>
    <w:rsid w:val="00880BF7"/>
    <w:rsid w:val="008F4C73"/>
    <w:rsid w:val="00B44562"/>
    <w:rsid w:val="00CC7191"/>
    <w:rsid w:val="00D61F98"/>
    <w:rsid w:val="00E01CC8"/>
    <w:rsid w:val="00F90006"/>
    <w:rsid w:val="00F91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B8186-CEB3-4D58-BDEE-DFD0EBA6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1F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61F98"/>
    <w:rPr>
      <w:b/>
      <w:bCs/>
    </w:rPr>
  </w:style>
  <w:style w:type="paragraph" w:styleId="Testofumetto">
    <w:name w:val="Balloon Text"/>
    <w:basedOn w:val="Normale"/>
    <w:link w:val="TestofumettoCarattere"/>
    <w:uiPriority w:val="99"/>
    <w:semiHidden/>
    <w:unhideWhenUsed/>
    <w:rsid w:val="000B68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6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oregioni.it/ListDocumenti_SR.asp?Conf=3&amp;IDProv=22692&amp;DaDove=1" TargetMode="External"/><Relationship Id="rId5" Type="http://schemas.openxmlformats.org/officeDocument/2006/relationships/hyperlink" Target="http://www.statoregioni.it/ListDocumenti_SR.asp?Conf=3&amp;IDProv=22691&amp;DaDove=1"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Luisa Gottardi</cp:lastModifiedBy>
  <cp:revision>5</cp:revision>
  <cp:lastPrinted>2019-02-13T10:17:00Z</cp:lastPrinted>
  <dcterms:created xsi:type="dcterms:W3CDTF">2019-02-11T08:30:00Z</dcterms:created>
  <dcterms:modified xsi:type="dcterms:W3CDTF">2019-02-13T10:17:00Z</dcterms:modified>
</cp:coreProperties>
</file>