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73AB" w14:textId="49E1A93C" w:rsidR="003B60A6" w:rsidRDefault="003B60A6" w:rsidP="00EA0E77">
      <w:pPr>
        <w:jc w:val="center"/>
        <w:rPr>
          <w:b/>
          <w:bCs/>
          <w:sz w:val="24"/>
          <w:szCs w:val="24"/>
        </w:rPr>
      </w:pPr>
      <w:bookmarkStart w:id="0" w:name="_GoBack"/>
      <w:bookmarkEnd w:id="0"/>
      <w:r>
        <w:rPr>
          <w:b/>
          <w:bCs/>
          <w:noProof/>
          <w:sz w:val="24"/>
          <w:szCs w:val="24"/>
        </w:rPr>
        <w:drawing>
          <wp:inline distT="0" distB="0" distL="0" distR="0" wp14:anchorId="7126434D" wp14:editId="6213B1CB">
            <wp:extent cx="1485900" cy="122575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jpg"/>
                    <pic:cNvPicPr/>
                  </pic:nvPicPr>
                  <pic:blipFill>
                    <a:blip r:embed="rId6">
                      <a:extLst>
                        <a:ext uri="{28A0092B-C50C-407E-A947-70E740481C1C}">
                          <a14:useLocalDpi xmlns:a14="http://schemas.microsoft.com/office/drawing/2010/main" val="0"/>
                        </a:ext>
                      </a:extLst>
                    </a:blip>
                    <a:stretch>
                      <a:fillRect/>
                    </a:stretch>
                  </pic:blipFill>
                  <pic:spPr>
                    <a:xfrm>
                      <a:off x="0" y="0"/>
                      <a:ext cx="1497307" cy="1235167"/>
                    </a:xfrm>
                    <a:prstGeom prst="rect">
                      <a:avLst/>
                    </a:prstGeom>
                  </pic:spPr>
                </pic:pic>
              </a:graphicData>
            </a:graphic>
          </wp:inline>
        </w:drawing>
      </w:r>
    </w:p>
    <w:p w14:paraId="14920C2E" w14:textId="3567638E" w:rsidR="003B60A6" w:rsidRDefault="003B60A6" w:rsidP="00EA0E77">
      <w:pPr>
        <w:jc w:val="center"/>
        <w:rPr>
          <w:b/>
          <w:bCs/>
          <w:sz w:val="24"/>
          <w:szCs w:val="24"/>
        </w:rPr>
      </w:pPr>
    </w:p>
    <w:p w14:paraId="5A63088A" w14:textId="7743FBB2" w:rsidR="003B60A6" w:rsidRDefault="003B60A6" w:rsidP="00EA0E77">
      <w:pPr>
        <w:jc w:val="center"/>
        <w:rPr>
          <w:b/>
          <w:bCs/>
          <w:sz w:val="24"/>
          <w:szCs w:val="24"/>
        </w:rPr>
      </w:pPr>
    </w:p>
    <w:p w14:paraId="061BC564" w14:textId="72704C31" w:rsidR="0049784A" w:rsidRDefault="0049784A" w:rsidP="00EA0E77">
      <w:pPr>
        <w:jc w:val="center"/>
        <w:rPr>
          <w:b/>
          <w:bCs/>
          <w:sz w:val="24"/>
          <w:szCs w:val="24"/>
        </w:rPr>
      </w:pPr>
    </w:p>
    <w:p w14:paraId="5927DCD9" w14:textId="69506425" w:rsidR="0049784A" w:rsidRDefault="0049784A" w:rsidP="00EA0E77">
      <w:pPr>
        <w:jc w:val="center"/>
        <w:rPr>
          <w:b/>
          <w:bCs/>
          <w:sz w:val="24"/>
          <w:szCs w:val="24"/>
        </w:rPr>
      </w:pPr>
    </w:p>
    <w:p w14:paraId="4C1ECE2F" w14:textId="77777777" w:rsidR="0049784A" w:rsidRPr="0049784A" w:rsidRDefault="0049784A" w:rsidP="00EA0E77">
      <w:pPr>
        <w:jc w:val="center"/>
        <w:rPr>
          <w:b/>
          <w:bCs/>
          <w:sz w:val="32"/>
          <w:szCs w:val="32"/>
        </w:rPr>
      </w:pPr>
    </w:p>
    <w:p w14:paraId="28434EF2" w14:textId="7755E60C" w:rsidR="00EA0E77" w:rsidRPr="0049784A" w:rsidRDefault="00EA0E77" w:rsidP="003B60A6">
      <w:pPr>
        <w:jc w:val="center"/>
        <w:rPr>
          <w:b/>
          <w:bCs/>
          <w:sz w:val="30"/>
          <w:szCs w:val="30"/>
        </w:rPr>
      </w:pPr>
      <w:r w:rsidRPr="0049784A">
        <w:rPr>
          <w:b/>
          <w:bCs/>
          <w:sz w:val="30"/>
          <w:szCs w:val="30"/>
        </w:rPr>
        <w:t>NOTA PER RIUNIONE DELL’OSSERVATORIO NAZIONALE</w:t>
      </w:r>
      <w:r w:rsidR="003B60A6" w:rsidRPr="0049784A">
        <w:rPr>
          <w:b/>
          <w:bCs/>
          <w:sz w:val="30"/>
          <w:szCs w:val="30"/>
        </w:rPr>
        <w:t xml:space="preserve"> </w:t>
      </w:r>
      <w:r w:rsidRPr="0049784A">
        <w:rPr>
          <w:b/>
          <w:bCs/>
          <w:sz w:val="30"/>
          <w:szCs w:val="30"/>
        </w:rPr>
        <w:t>SUL FENOMENO DEGLI ATTI INTIMIDATORI</w:t>
      </w:r>
      <w:r w:rsidR="003B60A6" w:rsidRPr="0049784A">
        <w:rPr>
          <w:b/>
          <w:bCs/>
          <w:sz w:val="30"/>
          <w:szCs w:val="30"/>
        </w:rPr>
        <w:t xml:space="preserve"> </w:t>
      </w:r>
      <w:r w:rsidRPr="0049784A">
        <w:rPr>
          <w:b/>
          <w:bCs/>
          <w:sz w:val="30"/>
          <w:szCs w:val="30"/>
        </w:rPr>
        <w:t>NEI CONFRONTI DEGLI AMMINISTRATORI LOCALI</w:t>
      </w:r>
    </w:p>
    <w:p w14:paraId="0227583B" w14:textId="77777777" w:rsidR="0049784A" w:rsidRPr="0049784A" w:rsidRDefault="0049784A" w:rsidP="00EA0E77">
      <w:pPr>
        <w:jc w:val="center"/>
        <w:rPr>
          <w:i/>
          <w:iCs/>
          <w:sz w:val="32"/>
          <w:szCs w:val="32"/>
        </w:rPr>
      </w:pPr>
    </w:p>
    <w:p w14:paraId="4CD53CC3" w14:textId="77777777" w:rsidR="0049784A" w:rsidRDefault="0049784A" w:rsidP="00EA0E77">
      <w:pPr>
        <w:jc w:val="center"/>
        <w:rPr>
          <w:i/>
          <w:iCs/>
          <w:sz w:val="28"/>
          <w:szCs w:val="28"/>
        </w:rPr>
      </w:pPr>
    </w:p>
    <w:p w14:paraId="4037A3D4" w14:textId="77777777" w:rsidR="0049784A" w:rsidRDefault="0049784A" w:rsidP="00EA0E77">
      <w:pPr>
        <w:jc w:val="center"/>
        <w:rPr>
          <w:i/>
          <w:iCs/>
          <w:sz w:val="28"/>
          <w:szCs w:val="28"/>
        </w:rPr>
      </w:pPr>
    </w:p>
    <w:p w14:paraId="3342223C" w14:textId="77777777" w:rsidR="0049784A" w:rsidRDefault="0049784A" w:rsidP="00EA0E77">
      <w:pPr>
        <w:jc w:val="center"/>
        <w:rPr>
          <w:i/>
          <w:iCs/>
          <w:sz w:val="28"/>
          <w:szCs w:val="28"/>
        </w:rPr>
      </w:pPr>
    </w:p>
    <w:p w14:paraId="1F80D1D7" w14:textId="77777777" w:rsidR="0049784A" w:rsidRDefault="0049784A" w:rsidP="00EA0E77">
      <w:pPr>
        <w:jc w:val="center"/>
        <w:rPr>
          <w:i/>
          <w:iCs/>
          <w:sz w:val="28"/>
          <w:szCs w:val="28"/>
        </w:rPr>
      </w:pPr>
    </w:p>
    <w:p w14:paraId="6A602274" w14:textId="77777777" w:rsidR="0049784A" w:rsidRDefault="0049784A" w:rsidP="00EA0E77">
      <w:pPr>
        <w:jc w:val="center"/>
        <w:rPr>
          <w:i/>
          <w:iCs/>
          <w:sz w:val="28"/>
          <w:szCs w:val="28"/>
        </w:rPr>
      </w:pPr>
    </w:p>
    <w:p w14:paraId="536F9736" w14:textId="77777777" w:rsidR="0049784A" w:rsidRDefault="0049784A" w:rsidP="00EA0E77">
      <w:pPr>
        <w:jc w:val="center"/>
        <w:rPr>
          <w:i/>
          <w:iCs/>
          <w:sz w:val="28"/>
          <w:szCs w:val="28"/>
        </w:rPr>
      </w:pPr>
    </w:p>
    <w:p w14:paraId="1B3C7A51" w14:textId="77777777" w:rsidR="0049784A" w:rsidRDefault="0049784A" w:rsidP="00EA0E77">
      <w:pPr>
        <w:jc w:val="center"/>
        <w:rPr>
          <w:i/>
          <w:iCs/>
          <w:sz w:val="28"/>
          <w:szCs w:val="28"/>
        </w:rPr>
      </w:pPr>
    </w:p>
    <w:p w14:paraId="33FF5B24" w14:textId="77777777" w:rsidR="0049784A" w:rsidRDefault="0049784A" w:rsidP="00EA0E77">
      <w:pPr>
        <w:jc w:val="center"/>
        <w:rPr>
          <w:i/>
          <w:iCs/>
          <w:sz w:val="28"/>
          <w:szCs w:val="28"/>
        </w:rPr>
      </w:pPr>
    </w:p>
    <w:p w14:paraId="61032C76" w14:textId="77777777" w:rsidR="0049784A" w:rsidRDefault="0049784A" w:rsidP="00EA0E77">
      <w:pPr>
        <w:jc w:val="center"/>
        <w:rPr>
          <w:i/>
          <w:iCs/>
          <w:sz w:val="28"/>
          <w:szCs w:val="28"/>
        </w:rPr>
      </w:pPr>
    </w:p>
    <w:p w14:paraId="55B096AE" w14:textId="77777777" w:rsidR="0049784A" w:rsidRDefault="0049784A" w:rsidP="00EA0E77">
      <w:pPr>
        <w:jc w:val="center"/>
        <w:rPr>
          <w:i/>
          <w:iCs/>
          <w:sz w:val="28"/>
          <w:szCs w:val="28"/>
        </w:rPr>
      </w:pPr>
    </w:p>
    <w:p w14:paraId="5408F240" w14:textId="77777777" w:rsidR="0049784A" w:rsidRDefault="0049784A" w:rsidP="00EA0E77">
      <w:pPr>
        <w:jc w:val="center"/>
        <w:rPr>
          <w:i/>
          <w:iCs/>
          <w:sz w:val="28"/>
          <w:szCs w:val="28"/>
        </w:rPr>
      </w:pPr>
    </w:p>
    <w:p w14:paraId="6BAA47A5" w14:textId="77777777" w:rsidR="0049784A" w:rsidRDefault="0049784A" w:rsidP="00EA0E77">
      <w:pPr>
        <w:jc w:val="center"/>
        <w:rPr>
          <w:i/>
          <w:iCs/>
          <w:sz w:val="28"/>
          <w:szCs w:val="28"/>
        </w:rPr>
      </w:pPr>
    </w:p>
    <w:p w14:paraId="46D94CB6" w14:textId="77777777" w:rsidR="0049784A" w:rsidRDefault="0049784A" w:rsidP="00EA0E77">
      <w:pPr>
        <w:jc w:val="center"/>
        <w:rPr>
          <w:i/>
          <w:iCs/>
          <w:sz w:val="28"/>
          <w:szCs w:val="28"/>
        </w:rPr>
      </w:pPr>
    </w:p>
    <w:p w14:paraId="2C5A173C" w14:textId="77777777" w:rsidR="0049784A" w:rsidRDefault="0049784A" w:rsidP="00EA0E77">
      <w:pPr>
        <w:jc w:val="center"/>
        <w:rPr>
          <w:i/>
          <w:iCs/>
          <w:sz w:val="28"/>
          <w:szCs w:val="28"/>
        </w:rPr>
      </w:pPr>
    </w:p>
    <w:p w14:paraId="20F776AF" w14:textId="4D19AAD6" w:rsidR="003B60A6" w:rsidRPr="0049784A" w:rsidRDefault="003B60A6" w:rsidP="00EA0E77">
      <w:pPr>
        <w:jc w:val="center"/>
        <w:rPr>
          <w:i/>
          <w:iCs/>
          <w:sz w:val="26"/>
          <w:szCs w:val="26"/>
        </w:rPr>
      </w:pPr>
      <w:r w:rsidRPr="0049784A">
        <w:rPr>
          <w:i/>
          <w:iCs/>
          <w:sz w:val="26"/>
          <w:szCs w:val="26"/>
        </w:rPr>
        <w:t>Roma, 11 dicembre 2019</w:t>
      </w:r>
    </w:p>
    <w:p w14:paraId="20D96A6F" w14:textId="78E60EF5" w:rsidR="003B60A6" w:rsidRPr="0049784A" w:rsidRDefault="0049784A" w:rsidP="0095133E">
      <w:pPr>
        <w:jc w:val="both"/>
        <w:rPr>
          <w:b/>
          <w:bCs/>
          <w:i/>
          <w:iCs/>
          <w:sz w:val="26"/>
          <w:szCs w:val="26"/>
        </w:rPr>
      </w:pPr>
      <w:r w:rsidRPr="0049784A">
        <w:rPr>
          <w:b/>
          <w:bCs/>
          <w:i/>
          <w:iCs/>
          <w:sz w:val="26"/>
          <w:szCs w:val="26"/>
        </w:rPr>
        <w:lastRenderedPageBreak/>
        <w:t>Premessa</w:t>
      </w:r>
    </w:p>
    <w:p w14:paraId="41430F5A" w14:textId="1B0EC648" w:rsidR="00EA0E77" w:rsidRPr="0049784A" w:rsidRDefault="00EA0E77" w:rsidP="0095133E">
      <w:pPr>
        <w:jc w:val="both"/>
        <w:rPr>
          <w:sz w:val="26"/>
          <w:szCs w:val="26"/>
        </w:rPr>
      </w:pPr>
      <w:r w:rsidRPr="0049784A">
        <w:rPr>
          <w:sz w:val="26"/>
          <w:szCs w:val="26"/>
        </w:rPr>
        <w:t>Il Capo di gabinetto del Ministero dell’Interno ha inviato la convocazione dell’Osservatorio sul fenomeno degli atti intimidatori nei confronti degli amministratori locali per il prossimo 11 dicembre 2019 alle ore 16, a cui l’UPI ha designato, come propri rappresentanti il Presidente della Provincia dell’Aquila e il Presidente della Provincia di Cosenza, con lettera dello scorso 27 novembre.</w:t>
      </w:r>
    </w:p>
    <w:p w14:paraId="10065A49" w14:textId="5FF6EE7B" w:rsidR="00EA0E77" w:rsidRPr="0049784A" w:rsidRDefault="00EA0E77" w:rsidP="0095133E">
      <w:pPr>
        <w:jc w:val="both"/>
        <w:rPr>
          <w:sz w:val="26"/>
          <w:szCs w:val="26"/>
        </w:rPr>
      </w:pPr>
      <w:r w:rsidRPr="0049784A">
        <w:rPr>
          <w:sz w:val="26"/>
          <w:szCs w:val="26"/>
        </w:rPr>
        <w:t xml:space="preserve">L’Osservatorio è stato costituito in attuazione dell’art. 6 della Legge 105 del 2017, per favorire e potenziare lo scambio di informazioni e il raccordo tra Stato e gli enti locali, allo scopo di individuare strumenti di contrasto e indicare strategie di prevenzione. </w:t>
      </w:r>
    </w:p>
    <w:p w14:paraId="78E997F7" w14:textId="77777777" w:rsidR="00EA0E77" w:rsidRPr="0049784A" w:rsidRDefault="00EA0E77" w:rsidP="0095133E">
      <w:pPr>
        <w:jc w:val="both"/>
        <w:rPr>
          <w:sz w:val="26"/>
          <w:szCs w:val="26"/>
        </w:rPr>
      </w:pPr>
      <w:r w:rsidRPr="0049784A">
        <w:rPr>
          <w:sz w:val="26"/>
          <w:szCs w:val="26"/>
        </w:rPr>
        <w:t>È composto da rappresentanti di ministero dell'Interno, ministero della Giustizia, ministero della Pubblica Istruzione, Università e Ricerca, Associazione nazionale comuni italiani (Anci) e Unione province d'Italia (</w:t>
      </w:r>
      <w:proofErr w:type="spellStart"/>
      <w:r w:rsidRPr="0049784A">
        <w:rPr>
          <w:sz w:val="26"/>
          <w:szCs w:val="26"/>
        </w:rPr>
        <w:t>Upi</w:t>
      </w:r>
      <w:proofErr w:type="spellEnd"/>
      <w:r w:rsidRPr="0049784A">
        <w:rPr>
          <w:sz w:val="26"/>
          <w:szCs w:val="26"/>
        </w:rPr>
        <w:t>), con la possibilità di estendere la partecipazione ad altre amministrazioni interessate, in relazione agli argomenti trattati. Si avvale di un organismo tecnico di supporto, che opera presso il Dipartimento della Pubblica Sicurezza.</w:t>
      </w:r>
    </w:p>
    <w:p w14:paraId="1A0D039A" w14:textId="77777777" w:rsidR="00ED23A8" w:rsidRPr="0049784A" w:rsidRDefault="00EA0E77" w:rsidP="0095133E">
      <w:pPr>
        <w:jc w:val="both"/>
        <w:rPr>
          <w:sz w:val="26"/>
          <w:szCs w:val="26"/>
        </w:rPr>
      </w:pPr>
      <w:r w:rsidRPr="0049784A">
        <w:rPr>
          <w:sz w:val="26"/>
          <w:szCs w:val="26"/>
        </w:rPr>
        <w:t>L’</w:t>
      </w:r>
      <w:r w:rsidR="0095133E" w:rsidRPr="0049784A">
        <w:rPr>
          <w:sz w:val="26"/>
          <w:szCs w:val="26"/>
        </w:rPr>
        <w:t>Osservatorio</w:t>
      </w:r>
      <w:r w:rsidR="00ED23A8" w:rsidRPr="0049784A">
        <w:rPr>
          <w:sz w:val="26"/>
          <w:szCs w:val="26"/>
        </w:rPr>
        <w:t>:</w:t>
      </w:r>
    </w:p>
    <w:p w14:paraId="3C51C18A" w14:textId="5082E7E9" w:rsidR="00ED23A8" w:rsidRPr="0049784A" w:rsidRDefault="00EA0E77" w:rsidP="00ED23A8">
      <w:pPr>
        <w:pStyle w:val="Paragrafoelenco"/>
        <w:numPr>
          <w:ilvl w:val="0"/>
          <w:numId w:val="2"/>
        </w:numPr>
        <w:jc w:val="both"/>
        <w:rPr>
          <w:b/>
          <w:bCs/>
          <w:sz w:val="26"/>
          <w:szCs w:val="26"/>
        </w:rPr>
      </w:pPr>
      <w:r w:rsidRPr="0049784A">
        <w:rPr>
          <w:b/>
          <w:bCs/>
          <w:sz w:val="26"/>
          <w:szCs w:val="26"/>
        </w:rPr>
        <w:t>monitora il fenomeno degli atti intimidatori nei confronti degli amministratori locali sul territorio</w:t>
      </w:r>
      <w:r w:rsidR="00ED23A8" w:rsidRPr="0049784A">
        <w:rPr>
          <w:b/>
          <w:bCs/>
          <w:sz w:val="26"/>
          <w:szCs w:val="26"/>
        </w:rPr>
        <w:t>;</w:t>
      </w:r>
    </w:p>
    <w:p w14:paraId="23A1DCAC" w14:textId="77777777" w:rsidR="00ED23A8" w:rsidRPr="0049784A" w:rsidRDefault="00EA0E77" w:rsidP="00ED23A8">
      <w:pPr>
        <w:pStyle w:val="Paragrafoelenco"/>
        <w:numPr>
          <w:ilvl w:val="0"/>
          <w:numId w:val="2"/>
        </w:numPr>
        <w:jc w:val="both"/>
        <w:rPr>
          <w:b/>
          <w:bCs/>
          <w:sz w:val="26"/>
          <w:szCs w:val="26"/>
        </w:rPr>
      </w:pPr>
      <w:r w:rsidRPr="0049784A">
        <w:rPr>
          <w:b/>
          <w:bCs/>
          <w:sz w:val="26"/>
          <w:szCs w:val="26"/>
        </w:rPr>
        <w:t>individua iniziative a sostegno delle vittime</w:t>
      </w:r>
      <w:r w:rsidR="00ED23A8" w:rsidRPr="0049784A">
        <w:rPr>
          <w:b/>
          <w:bCs/>
          <w:sz w:val="26"/>
          <w:szCs w:val="26"/>
        </w:rPr>
        <w:t>;</w:t>
      </w:r>
    </w:p>
    <w:p w14:paraId="416DB672" w14:textId="2856C3CA" w:rsidR="00EA0E77" w:rsidRPr="0049784A" w:rsidRDefault="00EA0E77" w:rsidP="00ED23A8">
      <w:pPr>
        <w:pStyle w:val="Paragrafoelenco"/>
        <w:numPr>
          <w:ilvl w:val="0"/>
          <w:numId w:val="2"/>
        </w:numPr>
        <w:jc w:val="both"/>
        <w:rPr>
          <w:b/>
          <w:bCs/>
          <w:sz w:val="26"/>
          <w:szCs w:val="26"/>
        </w:rPr>
      </w:pPr>
      <w:r w:rsidRPr="0049784A">
        <w:rPr>
          <w:b/>
          <w:bCs/>
          <w:sz w:val="26"/>
          <w:szCs w:val="26"/>
        </w:rPr>
        <w:t>indica strategie di prevenzione e contrasto.</w:t>
      </w:r>
    </w:p>
    <w:p w14:paraId="35E41EB8" w14:textId="438334E2" w:rsidR="00ED23A8" w:rsidRPr="0049784A" w:rsidRDefault="000272BD" w:rsidP="00ED23A8">
      <w:pPr>
        <w:jc w:val="both"/>
        <w:rPr>
          <w:sz w:val="26"/>
          <w:szCs w:val="26"/>
        </w:rPr>
      </w:pPr>
      <w:r w:rsidRPr="0049784A">
        <w:rPr>
          <w:sz w:val="26"/>
          <w:szCs w:val="26"/>
        </w:rPr>
        <w:t>Fino ad oggi l’Osservatorio ha agito soprattutto sull’attività di monitoraggio al punto 1. Sarebbe auspicabile che le attività di monitoraggio trovassero anche una ricaduta dal punto di vista istituzionale con un impulso sulle iniziative e sulla definizione delle strategie di cui ai punti 2 e 3.</w:t>
      </w:r>
    </w:p>
    <w:p w14:paraId="75652DB5" w14:textId="62DA1C23" w:rsidR="006A0B40" w:rsidRDefault="006A0B40" w:rsidP="00ED23A8">
      <w:pPr>
        <w:jc w:val="both"/>
        <w:rPr>
          <w:b/>
          <w:bCs/>
          <w:sz w:val="26"/>
          <w:szCs w:val="26"/>
        </w:rPr>
      </w:pPr>
    </w:p>
    <w:p w14:paraId="647660CD" w14:textId="77777777" w:rsidR="0049784A" w:rsidRPr="0049784A" w:rsidRDefault="0049784A" w:rsidP="00ED23A8">
      <w:pPr>
        <w:jc w:val="both"/>
        <w:rPr>
          <w:b/>
          <w:bCs/>
          <w:sz w:val="26"/>
          <w:szCs w:val="26"/>
        </w:rPr>
      </w:pPr>
    </w:p>
    <w:p w14:paraId="7F7F5314" w14:textId="2BE6C636" w:rsidR="00ED23A8" w:rsidRPr="0049784A" w:rsidRDefault="00ED23A8" w:rsidP="00ED23A8">
      <w:pPr>
        <w:jc w:val="both"/>
        <w:rPr>
          <w:b/>
          <w:bCs/>
          <w:i/>
          <w:iCs/>
          <w:sz w:val="26"/>
          <w:szCs w:val="26"/>
        </w:rPr>
      </w:pPr>
      <w:r w:rsidRPr="0049784A">
        <w:rPr>
          <w:b/>
          <w:bCs/>
          <w:i/>
          <w:iCs/>
          <w:sz w:val="26"/>
          <w:szCs w:val="26"/>
        </w:rPr>
        <w:t xml:space="preserve">1. Monitoraggio </w:t>
      </w:r>
    </w:p>
    <w:p w14:paraId="1CC1BB5C" w14:textId="46715ADD" w:rsidR="00EA0E77" w:rsidRPr="0049784A" w:rsidRDefault="0095133E" w:rsidP="0095133E">
      <w:pPr>
        <w:jc w:val="both"/>
        <w:rPr>
          <w:sz w:val="26"/>
          <w:szCs w:val="26"/>
        </w:rPr>
      </w:pPr>
      <w:r w:rsidRPr="0049784A">
        <w:rPr>
          <w:sz w:val="26"/>
          <w:szCs w:val="26"/>
        </w:rPr>
        <w:t xml:space="preserve">Al fine di </w:t>
      </w:r>
      <w:r w:rsidR="00EA0E77" w:rsidRPr="0049784A">
        <w:rPr>
          <w:sz w:val="26"/>
          <w:szCs w:val="26"/>
        </w:rPr>
        <w:t xml:space="preserve">conoscere </w:t>
      </w:r>
      <w:r w:rsidRPr="0049784A">
        <w:rPr>
          <w:sz w:val="26"/>
          <w:szCs w:val="26"/>
        </w:rPr>
        <w:t xml:space="preserve">le </w:t>
      </w:r>
      <w:r w:rsidR="00EA0E77" w:rsidRPr="0049784A">
        <w:rPr>
          <w:sz w:val="26"/>
          <w:szCs w:val="26"/>
        </w:rPr>
        <w:t>dimensioni</w:t>
      </w:r>
      <w:r w:rsidRPr="0049784A">
        <w:rPr>
          <w:sz w:val="26"/>
          <w:szCs w:val="26"/>
        </w:rPr>
        <w:t xml:space="preserve"> del fenomeno</w:t>
      </w:r>
      <w:r w:rsidR="00EA0E77" w:rsidRPr="0049784A">
        <w:rPr>
          <w:sz w:val="26"/>
          <w:szCs w:val="26"/>
        </w:rPr>
        <w:t>, natura e cause nelle varie realtà territoriali</w:t>
      </w:r>
      <w:r w:rsidRPr="0049784A">
        <w:rPr>
          <w:sz w:val="26"/>
          <w:szCs w:val="26"/>
        </w:rPr>
        <w:t xml:space="preserve"> è stato </w:t>
      </w:r>
      <w:r w:rsidR="00EA0E77" w:rsidRPr="0049784A">
        <w:rPr>
          <w:sz w:val="26"/>
          <w:szCs w:val="26"/>
        </w:rPr>
        <w:t>messo a punto un sistema di rilevazione capillare, attraverso le prefetture, con report trimestrale.</w:t>
      </w:r>
      <w:r w:rsidR="00ED23A8" w:rsidRPr="0049784A">
        <w:rPr>
          <w:sz w:val="26"/>
          <w:szCs w:val="26"/>
        </w:rPr>
        <w:t xml:space="preserve"> </w:t>
      </w:r>
      <w:r w:rsidR="003B60A6" w:rsidRPr="0049784A">
        <w:rPr>
          <w:sz w:val="26"/>
          <w:szCs w:val="26"/>
        </w:rPr>
        <w:t xml:space="preserve">Le attività di cui al punto 1 sono </w:t>
      </w:r>
      <w:r w:rsidR="00ED23A8" w:rsidRPr="0049784A">
        <w:rPr>
          <w:sz w:val="26"/>
          <w:szCs w:val="26"/>
        </w:rPr>
        <w:t xml:space="preserve">per il momento </w:t>
      </w:r>
      <w:r w:rsidR="003B60A6" w:rsidRPr="0049784A">
        <w:rPr>
          <w:sz w:val="26"/>
          <w:szCs w:val="26"/>
        </w:rPr>
        <w:t xml:space="preserve">le uniche </w:t>
      </w:r>
      <w:r w:rsidR="00ED23A8" w:rsidRPr="0049784A">
        <w:rPr>
          <w:sz w:val="26"/>
          <w:szCs w:val="26"/>
        </w:rPr>
        <w:t xml:space="preserve">che </w:t>
      </w:r>
      <w:r w:rsidR="003B60A6" w:rsidRPr="0049784A">
        <w:rPr>
          <w:sz w:val="26"/>
          <w:szCs w:val="26"/>
        </w:rPr>
        <w:t xml:space="preserve">sono </w:t>
      </w:r>
      <w:r w:rsidR="00ED23A8" w:rsidRPr="0049784A">
        <w:rPr>
          <w:sz w:val="26"/>
          <w:szCs w:val="26"/>
        </w:rPr>
        <w:t>stat</w:t>
      </w:r>
      <w:r w:rsidR="003B60A6" w:rsidRPr="0049784A">
        <w:rPr>
          <w:sz w:val="26"/>
          <w:szCs w:val="26"/>
        </w:rPr>
        <w:t>e</w:t>
      </w:r>
      <w:r w:rsidR="00ED23A8" w:rsidRPr="0049784A">
        <w:rPr>
          <w:sz w:val="26"/>
          <w:szCs w:val="26"/>
        </w:rPr>
        <w:t xml:space="preserve"> presidiat</w:t>
      </w:r>
      <w:r w:rsidR="003B60A6" w:rsidRPr="0049784A">
        <w:rPr>
          <w:sz w:val="26"/>
          <w:szCs w:val="26"/>
        </w:rPr>
        <w:t>e</w:t>
      </w:r>
      <w:r w:rsidR="00ED23A8" w:rsidRPr="0049784A">
        <w:rPr>
          <w:sz w:val="26"/>
          <w:szCs w:val="26"/>
        </w:rPr>
        <w:t xml:space="preserve"> a fondo.</w:t>
      </w:r>
    </w:p>
    <w:p w14:paraId="7422C6FB" w14:textId="77777777" w:rsidR="0049784A" w:rsidRPr="0049784A" w:rsidRDefault="0049784A" w:rsidP="0049784A">
      <w:pPr>
        <w:jc w:val="both"/>
        <w:rPr>
          <w:sz w:val="26"/>
          <w:szCs w:val="26"/>
        </w:rPr>
      </w:pPr>
      <w:r w:rsidRPr="0049784A">
        <w:rPr>
          <w:sz w:val="26"/>
          <w:szCs w:val="26"/>
        </w:rPr>
        <w:t>Come si evince dalla tabella il fenomeno degli atti intimidatori, con alti e bassi, è abbastanza stabile nel nostro Paese ed interessa la gran parte delle regioni italiane.</w:t>
      </w:r>
    </w:p>
    <w:p w14:paraId="05B7B837" w14:textId="77777777" w:rsidR="0049784A" w:rsidRPr="0049784A" w:rsidRDefault="0049784A" w:rsidP="0095133E">
      <w:pPr>
        <w:jc w:val="both"/>
        <w:rPr>
          <w:sz w:val="26"/>
          <w:szCs w:val="26"/>
        </w:rPr>
      </w:pPr>
    </w:p>
    <w:tbl>
      <w:tblPr>
        <w:tblStyle w:val="Grigliatabella"/>
        <w:tblW w:w="0" w:type="auto"/>
        <w:tblLook w:val="04A0" w:firstRow="1" w:lastRow="0" w:firstColumn="1" w:lastColumn="0" w:noHBand="0" w:noVBand="1"/>
      </w:tblPr>
      <w:tblGrid>
        <w:gridCol w:w="9628"/>
      </w:tblGrid>
      <w:tr w:rsidR="003B60A6" w14:paraId="46125752" w14:textId="77777777" w:rsidTr="003B60A6">
        <w:tc>
          <w:tcPr>
            <w:tcW w:w="9628" w:type="dxa"/>
          </w:tcPr>
          <w:p w14:paraId="06AA15C8" w14:textId="10D846A1" w:rsidR="003B60A6" w:rsidRDefault="003B60A6" w:rsidP="003B60A6">
            <w:pPr>
              <w:jc w:val="center"/>
              <w:rPr>
                <w:sz w:val="24"/>
                <w:szCs w:val="24"/>
              </w:rPr>
            </w:pPr>
            <w:r>
              <w:rPr>
                <w:noProof/>
                <w:sz w:val="24"/>
                <w:szCs w:val="24"/>
              </w:rPr>
              <w:lastRenderedPageBreak/>
              <w:drawing>
                <wp:inline distT="0" distB="0" distL="0" distR="0" wp14:anchorId="541A5B97" wp14:editId="1238862D">
                  <wp:extent cx="5619750" cy="590779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9-12-09 Servizio Analisi Criminale - atti_intimidatori_fino_i_trim_2019 pdf.png"/>
                          <pic:cNvPicPr/>
                        </pic:nvPicPr>
                        <pic:blipFill>
                          <a:blip r:embed="rId7">
                            <a:extLst>
                              <a:ext uri="{28A0092B-C50C-407E-A947-70E740481C1C}">
                                <a14:useLocalDpi xmlns:a14="http://schemas.microsoft.com/office/drawing/2010/main" val="0"/>
                              </a:ext>
                            </a:extLst>
                          </a:blip>
                          <a:stretch>
                            <a:fillRect/>
                          </a:stretch>
                        </pic:blipFill>
                        <pic:spPr>
                          <a:xfrm>
                            <a:off x="0" y="0"/>
                            <a:ext cx="5674273" cy="5965111"/>
                          </a:xfrm>
                          <a:prstGeom prst="rect">
                            <a:avLst/>
                          </a:prstGeom>
                        </pic:spPr>
                      </pic:pic>
                    </a:graphicData>
                  </a:graphic>
                </wp:inline>
              </w:drawing>
            </w:r>
          </w:p>
        </w:tc>
      </w:tr>
    </w:tbl>
    <w:p w14:paraId="7EAE82A2" w14:textId="1D80296B" w:rsidR="003B60A6" w:rsidRDefault="003B60A6" w:rsidP="0095133E">
      <w:pPr>
        <w:jc w:val="both"/>
        <w:rPr>
          <w:sz w:val="24"/>
          <w:szCs w:val="24"/>
        </w:rPr>
      </w:pPr>
    </w:p>
    <w:p w14:paraId="1417746C" w14:textId="2C6C7C81" w:rsidR="0049784A" w:rsidRDefault="0049784A" w:rsidP="0095133E">
      <w:pPr>
        <w:jc w:val="both"/>
        <w:rPr>
          <w:b/>
          <w:bCs/>
          <w:sz w:val="24"/>
          <w:szCs w:val="24"/>
        </w:rPr>
      </w:pPr>
    </w:p>
    <w:p w14:paraId="58F12725" w14:textId="77777777" w:rsidR="0049784A" w:rsidRDefault="0049784A" w:rsidP="0095133E">
      <w:pPr>
        <w:jc w:val="both"/>
        <w:rPr>
          <w:b/>
          <w:bCs/>
          <w:sz w:val="24"/>
          <w:szCs w:val="24"/>
        </w:rPr>
      </w:pPr>
    </w:p>
    <w:p w14:paraId="4F9CD1D4" w14:textId="75388371" w:rsidR="00ED23A8" w:rsidRPr="0049784A" w:rsidRDefault="00ED23A8" w:rsidP="0095133E">
      <w:pPr>
        <w:jc w:val="both"/>
        <w:rPr>
          <w:b/>
          <w:bCs/>
          <w:i/>
          <w:iCs/>
          <w:sz w:val="26"/>
          <w:szCs w:val="26"/>
        </w:rPr>
      </w:pPr>
      <w:r w:rsidRPr="0049784A">
        <w:rPr>
          <w:b/>
          <w:bCs/>
          <w:i/>
          <w:iCs/>
          <w:sz w:val="24"/>
          <w:szCs w:val="24"/>
        </w:rPr>
        <w:t xml:space="preserve">2. </w:t>
      </w:r>
      <w:r w:rsidRPr="0049784A">
        <w:rPr>
          <w:b/>
          <w:bCs/>
          <w:i/>
          <w:iCs/>
          <w:sz w:val="26"/>
          <w:szCs w:val="26"/>
        </w:rPr>
        <w:t>Iniziative di sostegno</w:t>
      </w:r>
    </w:p>
    <w:p w14:paraId="03D6D76B" w14:textId="6FFFCC77" w:rsidR="00EA0E77" w:rsidRPr="0049784A" w:rsidRDefault="00EA0E77" w:rsidP="0095133E">
      <w:pPr>
        <w:jc w:val="both"/>
        <w:rPr>
          <w:sz w:val="26"/>
          <w:szCs w:val="26"/>
        </w:rPr>
      </w:pPr>
      <w:r w:rsidRPr="0049784A">
        <w:rPr>
          <w:sz w:val="26"/>
          <w:szCs w:val="26"/>
        </w:rPr>
        <w:t xml:space="preserve">L'Osservatorio ha anche la funzione di individuare iniziative di supporto agli amministratori vittime di episodi intimidatori, tenendo conto delle caratteristiche delle realtà nelle quali svolgono il loro mandato. A questo scopo </w:t>
      </w:r>
      <w:r w:rsidR="00ED23A8" w:rsidRPr="0049784A">
        <w:rPr>
          <w:sz w:val="26"/>
          <w:szCs w:val="26"/>
        </w:rPr>
        <w:t xml:space="preserve">si </w:t>
      </w:r>
      <w:r w:rsidRPr="0049784A">
        <w:rPr>
          <w:sz w:val="26"/>
          <w:szCs w:val="26"/>
        </w:rPr>
        <w:t>è prevista la creazione presso le prefetture capoluogo di regione, di Osservatori regionali e, eventualmente, di sezioni provinciali in quelle realtà territoriali maggiormente interessate al fenomeno.</w:t>
      </w:r>
    </w:p>
    <w:p w14:paraId="14471B8D" w14:textId="32A26B02" w:rsidR="00703484" w:rsidRPr="0049784A" w:rsidRDefault="00EA0E77" w:rsidP="0095133E">
      <w:pPr>
        <w:jc w:val="both"/>
        <w:rPr>
          <w:sz w:val="26"/>
          <w:szCs w:val="26"/>
        </w:rPr>
      </w:pPr>
      <w:r w:rsidRPr="0049784A">
        <w:rPr>
          <w:sz w:val="26"/>
          <w:szCs w:val="26"/>
        </w:rPr>
        <w:t>L’organismo ha il compito, infine, di promuovere iniziative di formazione rivolte agli amministratori locali e di promozione della legalità, con particolare riferimento alle giovani generazioni.</w:t>
      </w:r>
      <w:r w:rsidR="00ED23A8" w:rsidRPr="0049784A">
        <w:rPr>
          <w:sz w:val="26"/>
          <w:szCs w:val="26"/>
        </w:rPr>
        <w:t xml:space="preserve"> </w:t>
      </w:r>
    </w:p>
    <w:p w14:paraId="1BF00C63" w14:textId="40CAB1DF" w:rsidR="00ED23A8" w:rsidRPr="0049784A" w:rsidRDefault="00ED23A8" w:rsidP="0095133E">
      <w:pPr>
        <w:jc w:val="both"/>
        <w:rPr>
          <w:sz w:val="26"/>
          <w:szCs w:val="26"/>
        </w:rPr>
      </w:pPr>
      <w:r w:rsidRPr="0049784A">
        <w:rPr>
          <w:sz w:val="26"/>
          <w:szCs w:val="26"/>
        </w:rPr>
        <w:lastRenderedPageBreak/>
        <w:t>Su questo punto il Ministero dell’Interno, in collaborazione con ANCI e UPI potrebbe programmare iniziative territoriali anche sulla base dei dati che emergono dal monitoraggio</w:t>
      </w:r>
      <w:r w:rsidR="006A0B40" w:rsidRPr="0049784A">
        <w:rPr>
          <w:sz w:val="26"/>
          <w:szCs w:val="26"/>
        </w:rPr>
        <w:t>, anche utilizzando le risorse ancora disponibili nell’ambito  del Programma operativo nazionale Legalità 2014-2020, erede e continuatore del PON Sicurezza per lo sviluppo del Mezzogiorno, che prevede interventi nei settori dell'inclusione sociale,  dei beni confiscati, dell'efficientamento delle pubbliche amministrazioni e della trasparenza degli atti pubblici.</w:t>
      </w:r>
    </w:p>
    <w:p w14:paraId="49006168" w14:textId="36779ED1" w:rsidR="00ED23A8" w:rsidRDefault="00ED23A8" w:rsidP="0095133E">
      <w:pPr>
        <w:jc w:val="both"/>
        <w:rPr>
          <w:sz w:val="26"/>
          <w:szCs w:val="26"/>
        </w:rPr>
      </w:pPr>
    </w:p>
    <w:p w14:paraId="261492BE" w14:textId="77777777" w:rsidR="0049784A" w:rsidRPr="0049784A" w:rsidRDefault="0049784A" w:rsidP="0095133E">
      <w:pPr>
        <w:jc w:val="both"/>
        <w:rPr>
          <w:sz w:val="26"/>
          <w:szCs w:val="26"/>
        </w:rPr>
      </w:pPr>
    </w:p>
    <w:p w14:paraId="6498A7DA" w14:textId="2F782FA8" w:rsidR="00ED23A8" w:rsidRPr="0049784A" w:rsidRDefault="00ED23A8" w:rsidP="0095133E">
      <w:pPr>
        <w:jc w:val="both"/>
        <w:rPr>
          <w:b/>
          <w:bCs/>
          <w:i/>
          <w:iCs/>
          <w:sz w:val="26"/>
          <w:szCs w:val="26"/>
        </w:rPr>
      </w:pPr>
      <w:r w:rsidRPr="0049784A">
        <w:rPr>
          <w:b/>
          <w:bCs/>
          <w:i/>
          <w:iCs/>
          <w:sz w:val="26"/>
          <w:szCs w:val="26"/>
        </w:rPr>
        <w:t>3. Strategie di prevenzione e contrasto</w:t>
      </w:r>
    </w:p>
    <w:p w14:paraId="4639C51E" w14:textId="77777777" w:rsidR="006A0B40" w:rsidRPr="0049784A" w:rsidRDefault="00ED23A8" w:rsidP="00ED23A8">
      <w:pPr>
        <w:shd w:val="clear" w:color="auto" w:fill="FFFFFF"/>
        <w:spacing w:after="30" w:line="240" w:lineRule="auto"/>
        <w:jc w:val="both"/>
        <w:rPr>
          <w:sz w:val="26"/>
          <w:szCs w:val="26"/>
        </w:rPr>
      </w:pPr>
      <w:r w:rsidRPr="0049784A">
        <w:rPr>
          <w:sz w:val="26"/>
          <w:szCs w:val="26"/>
        </w:rPr>
        <w:t>L’attività dell’Osservatorio non si è ancora mai tradotta nella condivisione di s</w:t>
      </w:r>
      <w:r w:rsidR="006A0B40" w:rsidRPr="0049784A">
        <w:rPr>
          <w:sz w:val="26"/>
          <w:szCs w:val="26"/>
        </w:rPr>
        <w:t>t</w:t>
      </w:r>
      <w:r w:rsidRPr="0049784A">
        <w:rPr>
          <w:sz w:val="26"/>
          <w:szCs w:val="26"/>
        </w:rPr>
        <w:t xml:space="preserve">rategie </w:t>
      </w:r>
      <w:r w:rsidR="006A0B40" w:rsidRPr="0049784A">
        <w:rPr>
          <w:sz w:val="26"/>
          <w:szCs w:val="26"/>
        </w:rPr>
        <w:t>che possono essere tradotte in iniziative normative o organizzative.</w:t>
      </w:r>
    </w:p>
    <w:p w14:paraId="79E01758" w14:textId="67F7EA60" w:rsidR="00ED23A8" w:rsidRPr="0049784A" w:rsidRDefault="006A0B40" w:rsidP="006A0B40">
      <w:pPr>
        <w:shd w:val="clear" w:color="auto" w:fill="FFFFFF"/>
        <w:spacing w:after="120" w:line="240" w:lineRule="auto"/>
        <w:jc w:val="both"/>
        <w:rPr>
          <w:sz w:val="26"/>
          <w:szCs w:val="26"/>
        </w:rPr>
      </w:pPr>
      <w:r w:rsidRPr="0049784A">
        <w:rPr>
          <w:rFonts w:cstheme="minorHAnsi"/>
          <w:color w:val="000000"/>
          <w:sz w:val="26"/>
          <w:szCs w:val="26"/>
          <w:shd w:val="clear" w:color="auto" w:fill="FFFFFF"/>
          <w:lang w:eastAsia="it-IT"/>
        </w:rPr>
        <w:t>L</w:t>
      </w:r>
      <w:r w:rsidR="00ED23A8" w:rsidRPr="0049784A">
        <w:rPr>
          <w:rFonts w:cstheme="minorHAnsi"/>
          <w:color w:val="000000"/>
          <w:sz w:val="26"/>
          <w:szCs w:val="26"/>
          <w:shd w:val="clear" w:color="auto" w:fill="FFFFFF"/>
          <w:lang w:eastAsia="it-IT"/>
        </w:rPr>
        <w:t>’Unione delle Province d’Italia, in particolare, propone le seguenti azioni</w:t>
      </w:r>
      <w:r w:rsidR="00D44B31" w:rsidRPr="0049784A">
        <w:rPr>
          <w:rFonts w:cstheme="minorHAnsi"/>
          <w:color w:val="000000"/>
          <w:sz w:val="26"/>
          <w:szCs w:val="26"/>
          <w:shd w:val="clear" w:color="auto" w:fill="FFFFFF"/>
          <w:lang w:eastAsia="it-IT"/>
        </w:rPr>
        <w:t>.</w:t>
      </w:r>
      <w:r w:rsidR="00ED23A8" w:rsidRPr="0049784A">
        <w:rPr>
          <w:rFonts w:cstheme="minorHAnsi"/>
          <w:color w:val="000000"/>
          <w:sz w:val="26"/>
          <w:szCs w:val="26"/>
          <w:shd w:val="clear" w:color="auto" w:fill="FFFFFF"/>
          <w:lang w:eastAsia="it-IT"/>
        </w:rPr>
        <w:t xml:space="preserve"> </w:t>
      </w:r>
    </w:p>
    <w:p w14:paraId="21A3E8BC" w14:textId="6FC183B8" w:rsidR="00ED23A8" w:rsidRPr="0049784A" w:rsidRDefault="00ED23A8" w:rsidP="006A0B40">
      <w:pPr>
        <w:numPr>
          <w:ilvl w:val="0"/>
          <w:numId w:val="4"/>
        </w:numPr>
        <w:shd w:val="clear" w:color="auto" w:fill="FFFFFF"/>
        <w:tabs>
          <w:tab w:val="clear" w:pos="720"/>
          <w:tab w:val="num" w:pos="-3780"/>
        </w:tabs>
        <w:spacing w:after="120" w:line="240" w:lineRule="auto"/>
        <w:ind w:left="360"/>
        <w:jc w:val="both"/>
        <w:rPr>
          <w:rFonts w:cstheme="minorHAnsi"/>
          <w:sz w:val="26"/>
          <w:szCs w:val="26"/>
          <w:lang w:eastAsia="it-IT"/>
        </w:rPr>
      </w:pPr>
      <w:r w:rsidRPr="0049784A">
        <w:rPr>
          <w:rFonts w:cstheme="minorHAnsi"/>
          <w:sz w:val="26"/>
          <w:szCs w:val="26"/>
          <w:lang w:eastAsia="it-IT"/>
        </w:rPr>
        <w:t xml:space="preserve">Occorre rompere la solitudine degli amministratori onesti, evitare il loro isolamento che spesso è una precondizione dell’intimidazione, con una </w:t>
      </w:r>
      <w:r w:rsidRPr="0049784A">
        <w:rPr>
          <w:rFonts w:cstheme="minorHAnsi"/>
          <w:b/>
          <w:bCs/>
          <w:sz w:val="26"/>
          <w:szCs w:val="26"/>
          <w:lang w:eastAsia="it-IT"/>
        </w:rPr>
        <w:t>presenza a fianco degli amministratori locali</w:t>
      </w:r>
      <w:r w:rsidR="00D44B31" w:rsidRPr="0049784A">
        <w:rPr>
          <w:rFonts w:cstheme="minorHAnsi"/>
          <w:b/>
          <w:bCs/>
          <w:sz w:val="26"/>
          <w:szCs w:val="26"/>
          <w:lang w:eastAsia="it-IT"/>
        </w:rPr>
        <w:t xml:space="preserve"> dei rappresentanti delle istituzioni nazionali</w:t>
      </w:r>
      <w:r w:rsidR="00D44B31" w:rsidRPr="0049784A">
        <w:rPr>
          <w:rFonts w:cstheme="minorHAnsi"/>
          <w:sz w:val="26"/>
          <w:szCs w:val="26"/>
          <w:lang w:eastAsia="it-IT"/>
        </w:rPr>
        <w:t xml:space="preserve">. </w:t>
      </w:r>
      <w:r w:rsidR="00655687" w:rsidRPr="0049784A">
        <w:rPr>
          <w:rFonts w:cstheme="minorHAnsi"/>
          <w:sz w:val="26"/>
          <w:szCs w:val="26"/>
          <w:lang w:eastAsia="it-IT"/>
        </w:rPr>
        <w:t xml:space="preserve">Nei territori dove gli amministratori sono maggiormente soggetti ad atti di intimidazione occorre </w:t>
      </w:r>
      <w:r w:rsidRPr="0049784A">
        <w:rPr>
          <w:rFonts w:cstheme="minorHAnsi"/>
          <w:sz w:val="26"/>
          <w:szCs w:val="26"/>
          <w:lang w:eastAsia="it-IT"/>
        </w:rPr>
        <w:t xml:space="preserve">utilizzare le forze dell’ordine per controlli periodici </w:t>
      </w:r>
      <w:r w:rsidR="00D44B31" w:rsidRPr="0049784A">
        <w:rPr>
          <w:rFonts w:cstheme="minorHAnsi"/>
          <w:sz w:val="26"/>
          <w:szCs w:val="26"/>
          <w:lang w:eastAsia="it-IT"/>
        </w:rPr>
        <w:t>e</w:t>
      </w:r>
      <w:r w:rsidRPr="0049784A">
        <w:rPr>
          <w:rFonts w:cstheme="minorHAnsi"/>
          <w:sz w:val="26"/>
          <w:szCs w:val="26"/>
          <w:lang w:eastAsia="it-IT"/>
        </w:rPr>
        <w:t xml:space="preserve"> operazioni preventive di polizia</w:t>
      </w:r>
      <w:r w:rsidR="00655687" w:rsidRPr="0049784A">
        <w:rPr>
          <w:rFonts w:cstheme="minorHAnsi"/>
          <w:sz w:val="26"/>
          <w:szCs w:val="26"/>
          <w:lang w:eastAsia="it-IT"/>
        </w:rPr>
        <w:t>,</w:t>
      </w:r>
      <w:r w:rsidRPr="0049784A">
        <w:rPr>
          <w:rFonts w:cstheme="minorHAnsi"/>
          <w:sz w:val="26"/>
          <w:szCs w:val="26"/>
          <w:lang w:eastAsia="it-IT"/>
        </w:rPr>
        <w:t xml:space="preserve"> </w:t>
      </w:r>
      <w:r w:rsidR="00655687" w:rsidRPr="0049784A">
        <w:rPr>
          <w:rFonts w:cstheme="minorHAnsi"/>
          <w:sz w:val="26"/>
          <w:szCs w:val="26"/>
          <w:lang w:eastAsia="it-IT"/>
        </w:rPr>
        <w:t xml:space="preserve">rafforzare gli organici, </w:t>
      </w:r>
      <w:r w:rsidRPr="0049784A">
        <w:rPr>
          <w:rFonts w:cstheme="minorHAnsi"/>
          <w:sz w:val="26"/>
          <w:szCs w:val="26"/>
          <w:lang w:eastAsia="it-IT"/>
        </w:rPr>
        <w:t>istituire appositi “Centri di ascolto” presso le prefetture, che possano accogliere e supportare in via riservata gli amministratori vittima di intimidazioni.</w:t>
      </w:r>
    </w:p>
    <w:p w14:paraId="2C94F35F" w14:textId="46018BDB" w:rsidR="00E87C9E" w:rsidRPr="0049784A" w:rsidRDefault="00655687" w:rsidP="006A0B40">
      <w:pPr>
        <w:numPr>
          <w:ilvl w:val="0"/>
          <w:numId w:val="4"/>
        </w:numPr>
        <w:shd w:val="clear" w:color="auto" w:fill="FFFFFF"/>
        <w:tabs>
          <w:tab w:val="clear" w:pos="720"/>
          <w:tab w:val="num" w:pos="-3780"/>
        </w:tabs>
        <w:spacing w:after="120" w:line="240" w:lineRule="auto"/>
        <w:ind w:left="360"/>
        <w:jc w:val="both"/>
        <w:rPr>
          <w:rFonts w:cstheme="minorHAnsi"/>
          <w:sz w:val="26"/>
          <w:szCs w:val="26"/>
          <w:lang w:eastAsia="it-IT"/>
        </w:rPr>
      </w:pPr>
      <w:r w:rsidRPr="0049784A">
        <w:rPr>
          <w:rFonts w:cstheme="minorHAnsi"/>
          <w:sz w:val="26"/>
          <w:szCs w:val="26"/>
          <w:lang w:eastAsia="it-IT"/>
        </w:rPr>
        <w:t>N</w:t>
      </w:r>
      <w:r w:rsidR="00ED23A8" w:rsidRPr="0049784A">
        <w:rPr>
          <w:rFonts w:cstheme="minorHAnsi"/>
          <w:sz w:val="26"/>
          <w:szCs w:val="26"/>
          <w:lang w:eastAsia="it-IT"/>
        </w:rPr>
        <w:t xml:space="preserve">ell’ambito del processo di attuazione </w:t>
      </w:r>
      <w:r w:rsidR="00E87C9E" w:rsidRPr="0049784A">
        <w:rPr>
          <w:rFonts w:cstheme="minorHAnsi"/>
          <w:sz w:val="26"/>
          <w:szCs w:val="26"/>
          <w:lang w:eastAsia="it-IT"/>
        </w:rPr>
        <w:t xml:space="preserve">del nuovo codice dei contratti pubblici, </w:t>
      </w:r>
      <w:r w:rsidR="00ED23A8" w:rsidRPr="0049784A">
        <w:rPr>
          <w:rFonts w:cstheme="minorHAnsi"/>
          <w:sz w:val="26"/>
          <w:szCs w:val="26"/>
          <w:lang w:eastAsia="it-IT"/>
        </w:rPr>
        <w:t xml:space="preserve">uno degli aspetti centrali che dovrà essere affrontato riguarda senza dubbio </w:t>
      </w:r>
      <w:r w:rsidRPr="0049784A">
        <w:rPr>
          <w:rFonts w:cstheme="minorHAnsi"/>
          <w:sz w:val="26"/>
          <w:szCs w:val="26"/>
          <w:lang w:eastAsia="it-IT"/>
        </w:rPr>
        <w:t xml:space="preserve">il rafforzamento del </w:t>
      </w:r>
      <w:r w:rsidR="00ED23A8" w:rsidRPr="0049784A">
        <w:rPr>
          <w:rFonts w:cstheme="minorHAnsi"/>
          <w:sz w:val="26"/>
          <w:szCs w:val="26"/>
          <w:lang w:eastAsia="it-IT"/>
        </w:rPr>
        <w:t xml:space="preserve">processo di aggregazione </w:t>
      </w:r>
      <w:r w:rsidRPr="0049784A">
        <w:rPr>
          <w:rFonts w:cstheme="minorHAnsi"/>
          <w:sz w:val="26"/>
          <w:szCs w:val="26"/>
          <w:lang w:eastAsia="it-IT"/>
        </w:rPr>
        <w:t xml:space="preserve">nella gestione degli appalti con la </w:t>
      </w:r>
      <w:r w:rsidR="006A0B40" w:rsidRPr="0049784A">
        <w:rPr>
          <w:rFonts w:cstheme="minorHAnsi"/>
          <w:sz w:val="26"/>
          <w:szCs w:val="26"/>
          <w:lang w:eastAsia="it-IT"/>
        </w:rPr>
        <w:t xml:space="preserve">valorizzazione delle </w:t>
      </w:r>
      <w:r w:rsidR="00ED23A8" w:rsidRPr="0049784A">
        <w:rPr>
          <w:rFonts w:cstheme="minorHAnsi"/>
          <w:sz w:val="26"/>
          <w:szCs w:val="26"/>
          <w:lang w:eastAsia="it-IT"/>
        </w:rPr>
        <w:t xml:space="preserve">stazioni </w:t>
      </w:r>
      <w:r w:rsidR="00ED23A8" w:rsidRPr="0049784A">
        <w:rPr>
          <w:rFonts w:cstheme="minorHAnsi"/>
          <w:b/>
          <w:sz w:val="26"/>
          <w:szCs w:val="26"/>
          <w:lang w:eastAsia="it-IT"/>
        </w:rPr>
        <w:t xml:space="preserve">uniche appaltanti </w:t>
      </w:r>
      <w:r w:rsidR="006A0B40" w:rsidRPr="0049784A">
        <w:rPr>
          <w:rFonts w:cstheme="minorHAnsi"/>
          <w:b/>
          <w:sz w:val="26"/>
          <w:szCs w:val="26"/>
          <w:lang w:eastAsia="it-IT"/>
        </w:rPr>
        <w:t xml:space="preserve">delle </w:t>
      </w:r>
      <w:r w:rsidR="00ED23A8" w:rsidRPr="0049784A">
        <w:rPr>
          <w:rFonts w:cstheme="minorHAnsi"/>
          <w:b/>
          <w:sz w:val="26"/>
          <w:szCs w:val="26"/>
          <w:lang w:eastAsia="it-IT"/>
        </w:rPr>
        <w:t xml:space="preserve">Province e </w:t>
      </w:r>
      <w:r w:rsidR="006A0B40" w:rsidRPr="0049784A">
        <w:rPr>
          <w:rFonts w:cstheme="minorHAnsi"/>
          <w:b/>
          <w:sz w:val="26"/>
          <w:szCs w:val="26"/>
          <w:lang w:eastAsia="it-IT"/>
        </w:rPr>
        <w:t xml:space="preserve">delle </w:t>
      </w:r>
      <w:r w:rsidR="00ED23A8" w:rsidRPr="0049784A">
        <w:rPr>
          <w:rFonts w:cstheme="minorHAnsi"/>
          <w:b/>
          <w:sz w:val="26"/>
          <w:szCs w:val="26"/>
          <w:lang w:eastAsia="it-IT"/>
        </w:rPr>
        <w:t>Città metropolitane</w:t>
      </w:r>
      <w:r w:rsidR="00ED23A8" w:rsidRPr="0049784A">
        <w:rPr>
          <w:rFonts w:cstheme="minorHAnsi"/>
          <w:sz w:val="26"/>
          <w:szCs w:val="26"/>
          <w:lang w:eastAsia="it-IT"/>
        </w:rPr>
        <w:t xml:space="preserve"> per la gestione degli appalti di ammontare superiore alla soglia di 40.000 euro, dando concretezza alle indicazioni contenute nella legge 56/14 per il riordino degli enti locali</w:t>
      </w:r>
      <w:r w:rsidR="006A0B40" w:rsidRPr="0049784A">
        <w:rPr>
          <w:rFonts w:cstheme="minorHAnsi"/>
          <w:sz w:val="26"/>
          <w:szCs w:val="26"/>
          <w:lang w:eastAsia="it-IT"/>
        </w:rPr>
        <w:t xml:space="preserve">, </w:t>
      </w:r>
      <w:r w:rsidRPr="0049784A">
        <w:rPr>
          <w:rFonts w:cstheme="minorHAnsi"/>
          <w:sz w:val="26"/>
          <w:szCs w:val="26"/>
          <w:lang w:eastAsia="it-IT"/>
        </w:rPr>
        <w:t xml:space="preserve">e </w:t>
      </w:r>
      <w:r w:rsidR="006A0B40" w:rsidRPr="0049784A">
        <w:rPr>
          <w:rFonts w:cstheme="minorHAnsi"/>
          <w:sz w:val="26"/>
          <w:szCs w:val="26"/>
          <w:lang w:eastAsia="it-IT"/>
        </w:rPr>
        <w:t>con una collaborazione stretta con il Ministero dell’Interno per supportare il ricorso a queste strutture soprattutto nei territori in cui ci sono infiltrazioni per mafia o atti intimidatori diffusi</w:t>
      </w:r>
      <w:r w:rsidR="00ED23A8" w:rsidRPr="0049784A">
        <w:rPr>
          <w:rFonts w:cstheme="minorHAnsi"/>
          <w:sz w:val="26"/>
          <w:szCs w:val="26"/>
          <w:lang w:eastAsia="it-IT"/>
        </w:rPr>
        <w:t>.</w:t>
      </w:r>
    </w:p>
    <w:p w14:paraId="022FF377" w14:textId="673F2822" w:rsidR="00D44B31" w:rsidRPr="0049784A" w:rsidRDefault="00655687" w:rsidP="00D44B31">
      <w:pPr>
        <w:numPr>
          <w:ilvl w:val="0"/>
          <w:numId w:val="4"/>
        </w:numPr>
        <w:shd w:val="clear" w:color="auto" w:fill="FFFFFF"/>
        <w:tabs>
          <w:tab w:val="clear" w:pos="720"/>
          <w:tab w:val="num" w:pos="-3780"/>
        </w:tabs>
        <w:spacing w:after="120" w:line="240" w:lineRule="auto"/>
        <w:ind w:left="360"/>
        <w:jc w:val="both"/>
        <w:rPr>
          <w:rFonts w:cstheme="minorHAnsi"/>
          <w:sz w:val="26"/>
          <w:szCs w:val="26"/>
          <w:lang w:eastAsia="it-IT"/>
        </w:rPr>
      </w:pPr>
      <w:r w:rsidRPr="0049784A">
        <w:rPr>
          <w:rFonts w:cstheme="minorHAnsi"/>
          <w:sz w:val="26"/>
          <w:szCs w:val="26"/>
          <w:lang w:eastAsia="it-IT"/>
        </w:rPr>
        <w:t xml:space="preserve">Sono </w:t>
      </w:r>
      <w:r w:rsidR="00ED23A8" w:rsidRPr="0049784A">
        <w:rPr>
          <w:rFonts w:cstheme="minorHAnsi"/>
          <w:sz w:val="26"/>
          <w:szCs w:val="26"/>
          <w:lang w:eastAsia="it-IT"/>
        </w:rPr>
        <w:t xml:space="preserve">auspicabili </w:t>
      </w:r>
      <w:r w:rsidRPr="0049784A">
        <w:rPr>
          <w:rFonts w:cstheme="minorHAnsi"/>
          <w:b/>
          <w:bCs/>
          <w:sz w:val="26"/>
          <w:szCs w:val="26"/>
          <w:lang w:eastAsia="it-IT"/>
        </w:rPr>
        <w:t>misure organizzative</w:t>
      </w:r>
      <w:r w:rsidRPr="0049784A">
        <w:rPr>
          <w:rFonts w:cstheme="minorHAnsi"/>
          <w:sz w:val="26"/>
          <w:szCs w:val="26"/>
          <w:lang w:eastAsia="it-IT"/>
        </w:rPr>
        <w:t xml:space="preserve"> </w:t>
      </w:r>
      <w:r w:rsidR="00ED23A8" w:rsidRPr="0049784A">
        <w:rPr>
          <w:rFonts w:cstheme="minorHAnsi"/>
          <w:sz w:val="26"/>
          <w:szCs w:val="26"/>
          <w:lang w:eastAsia="it-IT"/>
        </w:rPr>
        <w:t>quali</w:t>
      </w:r>
      <w:r w:rsidR="00E87C9E" w:rsidRPr="0049784A">
        <w:rPr>
          <w:rFonts w:cstheme="minorHAnsi"/>
          <w:sz w:val="26"/>
          <w:szCs w:val="26"/>
          <w:lang w:eastAsia="it-IT"/>
        </w:rPr>
        <w:t xml:space="preserve"> il raccordo e lo scambio di informazioni tra le amministrazioni statali, la magistratura e gli enti locali sugli atti intimidatori, a partire da quelle contenute nella banca dati nazionale che si è costituita a seguito del monitoraggio</w:t>
      </w:r>
      <w:r w:rsidR="00D44B31" w:rsidRPr="0049784A">
        <w:rPr>
          <w:rFonts w:cstheme="minorHAnsi"/>
          <w:sz w:val="26"/>
          <w:szCs w:val="26"/>
          <w:lang w:eastAsia="it-IT"/>
        </w:rPr>
        <w:t>.</w:t>
      </w:r>
    </w:p>
    <w:p w14:paraId="028A66F6" w14:textId="07C67ABE" w:rsidR="00ED23A8" w:rsidRPr="0049784A" w:rsidRDefault="00655687" w:rsidP="00D44B31">
      <w:pPr>
        <w:numPr>
          <w:ilvl w:val="0"/>
          <w:numId w:val="4"/>
        </w:numPr>
        <w:shd w:val="clear" w:color="auto" w:fill="FFFFFF"/>
        <w:tabs>
          <w:tab w:val="clear" w:pos="720"/>
          <w:tab w:val="num" w:pos="-3780"/>
        </w:tabs>
        <w:spacing w:after="120" w:line="240" w:lineRule="auto"/>
        <w:ind w:left="360"/>
        <w:jc w:val="both"/>
        <w:rPr>
          <w:rFonts w:cstheme="minorHAnsi"/>
          <w:sz w:val="26"/>
          <w:szCs w:val="26"/>
          <w:lang w:eastAsia="it-IT"/>
        </w:rPr>
      </w:pPr>
      <w:r w:rsidRPr="0049784A">
        <w:rPr>
          <w:rFonts w:cstheme="minorHAnsi"/>
          <w:sz w:val="26"/>
          <w:szCs w:val="26"/>
        </w:rPr>
        <w:t xml:space="preserve">Nell’ambito dell’annunciata revisione del TUEL occorre infine rivedere le nome sul controllo degli organi degli enti locali per </w:t>
      </w:r>
      <w:r w:rsidR="00C66300" w:rsidRPr="0049784A">
        <w:rPr>
          <w:rFonts w:cstheme="minorHAnsi"/>
          <w:sz w:val="26"/>
          <w:szCs w:val="26"/>
        </w:rPr>
        <w:t xml:space="preserve">introdurre </w:t>
      </w:r>
      <w:r w:rsidR="00ED23A8" w:rsidRPr="0049784A">
        <w:rPr>
          <w:rFonts w:cstheme="minorHAnsi"/>
          <w:b/>
          <w:bCs/>
          <w:color w:val="000000"/>
          <w:sz w:val="26"/>
          <w:szCs w:val="26"/>
          <w:shd w:val="clear" w:color="auto" w:fill="FFFFFF"/>
          <w:lang w:eastAsia="it-IT"/>
        </w:rPr>
        <w:t>"</w:t>
      </w:r>
      <w:r w:rsidR="00ED23A8" w:rsidRPr="0049784A">
        <w:rPr>
          <w:rFonts w:cstheme="minorHAnsi"/>
          <w:b/>
          <w:bCs/>
          <w:i/>
          <w:iCs/>
          <w:color w:val="000000"/>
          <w:sz w:val="26"/>
          <w:szCs w:val="26"/>
          <w:shd w:val="clear" w:color="auto" w:fill="FFFFFF"/>
          <w:lang w:eastAsia="it-IT"/>
        </w:rPr>
        <w:t>strument</w:t>
      </w:r>
      <w:r w:rsidR="00C66300" w:rsidRPr="0049784A">
        <w:rPr>
          <w:rFonts w:cstheme="minorHAnsi"/>
          <w:b/>
          <w:bCs/>
          <w:i/>
          <w:iCs/>
          <w:color w:val="000000"/>
          <w:sz w:val="26"/>
          <w:szCs w:val="26"/>
          <w:shd w:val="clear" w:color="auto" w:fill="FFFFFF"/>
          <w:lang w:eastAsia="it-IT"/>
        </w:rPr>
        <w:t>i</w:t>
      </w:r>
      <w:r w:rsidR="00ED23A8" w:rsidRPr="0049784A">
        <w:rPr>
          <w:rFonts w:cstheme="minorHAnsi"/>
          <w:b/>
          <w:bCs/>
          <w:i/>
          <w:iCs/>
          <w:color w:val="000000"/>
          <w:sz w:val="26"/>
          <w:szCs w:val="26"/>
          <w:shd w:val="clear" w:color="auto" w:fill="FFFFFF"/>
          <w:lang w:eastAsia="it-IT"/>
        </w:rPr>
        <w:t xml:space="preserve"> </w:t>
      </w:r>
      <w:r w:rsidR="00C66300" w:rsidRPr="0049784A">
        <w:rPr>
          <w:rFonts w:cstheme="minorHAnsi"/>
          <w:b/>
          <w:bCs/>
          <w:i/>
          <w:iCs/>
          <w:color w:val="000000"/>
          <w:sz w:val="26"/>
          <w:szCs w:val="26"/>
          <w:shd w:val="clear" w:color="auto" w:fill="FFFFFF"/>
          <w:lang w:eastAsia="it-IT"/>
        </w:rPr>
        <w:t>di collaborazione</w:t>
      </w:r>
      <w:r w:rsidR="00ED23A8" w:rsidRPr="0049784A">
        <w:rPr>
          <w:rFonts w:cstheme="minorHAnsi"/>
          <w:b/>
          <w:bCs/>
          <w:color w:val="000000"/>
          <w:sz w:val="26"/>
          <w:szCs w:val="26"/>
          <w:shd w:val="clear" w:color="auto" w:fill="FFFFFF"/>
          <w:lang w:eastAsia="it-IT"/>
        </w:rPr>
        <w:t>"</w:t>
      </w:r>
      <w:r w:rsidR="00ED23A8" w:rsidRPr="0049784A">
        <w:rPr>
          <w:rFonts w:cstheme="minorHAnsi"/>
          <w:color w:val="000000"/>
          <w:sz w:val="26"/>
          <w:szCs w:val="26"/>
          <w:shd w:val="clear" w:color="auto" w:fill="FFFFFF"/>
          <w:lang w:eastAsia="it-IT"/>
        </w:rPr>
        <w:t xml:space="preserve"> </w:t>
      </w:r>
      <w:r w:rsidR="00C66300" w:rsidRPr="0049784A">
        <w:rPr>
          <w:rFonts w:cstheme="minorHAnsi"/>
          <w:color w:val="000000"/>
          <w:sz w:val="26"/>
          <w:szCs w:val="26"/>
          <w:shd w:val="clear" w:color="auto" w:fill="FFFFFF"/>
          <w:lang w:eastAsia="it-IT"/>
        </w:rPr>
        <w:t xml:space="preserve">tra le Prefetture e gli enti locali interessati da infiltrazioni mafiose o da atti intimidatori, </w:t>
      </w:r>
      <w:r w:rsidR="00ED23A8" w:rsidRPr="0049784A">
        <w:rPr>
          <w:rFonts w:cstheme="minorHAnsi"/>
          <w:color w:val="000000"/>
          <w:sz w:val="26"/>
          <w:szCs w:val="26"/>
          <w:shd w:val="clear" w:color="auto" w:fill="FFFFFF"/>
          <w:lang w:eastAsia="it-IT"/>
        </w:rPr>
        <w:t>finalizzat</w:t>
      </w:r>
      <w:r w:rsidR="00C66300" w:rsidRPr="0049784A">
        <w:rPr>
          <w:rFonts w:cstheme="minorHAnsi"/>
          <w:color w:val="000000"/>
          <w:sz w:val="26"/>
          <w:szCs w:val="26"/>
          <w:shd w:val="clear" w:color="auto" w:fill="FFFFFF"/>
          <w:lang w:eastAsia="it-IT"/>
        </w:rPr>
        <w:t>i</w:t>
      </w:r>
      <w:r w:rsidR="00ED23A8" w:rsidRPr="0049784A">
        <w:rPr>
          <w:rFonts w:cstheme="minorHAnsi"/>
          <w:color w:val="000000"/>
          <w:sz w:val="26"/>
          <w:szCs w:val="26"/>
          <w:shd w:val="clear" w:color="auto" w:fill="FFFFFF"/>
          <w:lang w:eastAsia="it-IT"/>
        </w:rPr>
        <w:t xml:space="preserve"> a sostenere </w:t>
      </w:r>
      <w:r w:rsidR="00C66300" w:rsidRPr="0049784A">
        <w:rPr>
          <w:rFonts w:cstheme="minorHAnsi"/>
          <w:color w:val="000000"/>
          <w:sz w:val="26"/>
          <w:szCs w:val="26"/>
          <w:shd w:val="clear" w:color="auto" w:fill="FFFFFF"/>
          <w:lang w:eastAsia="it-IT"/>
        </w:rPr>
        <w:t xml:space="preserve">a rompere l’isolamento degli amministratori locali,  a sostenere </w:t>
      </w:r>
      <w:r w:rsidR="00ED23A8" w:rsidRPr="0049784A">
        <w:rPr>
          <w:rFonts w:cstheme="minorHAnsi"/>
          <w:color w:val="000000"/>
          <w:sz w:val="26"/>
          <w:szCs w:val="26"/>
          <w:shd w:val="clear" w:color="auto" w:fill="FFFFFF"/>
          <w:lang w:eastAsia="it-IT"/>
        </w:rPr>
        <w:t xml:space="preserve">l’azione dell’amministrazione </w:t>
      </w:r>
      <w:r w:rsidRPr="0049784A">
        <w:rPr>
          <w:rFonts w:cstheme="minorHAnsi"/>
          <w:color w:val="000000"/>
          <w:sz w:val="26"/>
          <w:szCs w:val="26"/>
          <w:shd w:val="clear" w:color="auto" w:fill="FFFFFF"/>
          <w:lang w:eastAsia="it-IT"/>
        </w:rPr>
        <w:t xml:space="preserve">locale, come </w:t>
      </w:r>
      <w:r w:rsidR="00ED23A8" w:rsidRPr="0049784A">
        <w:rPr>
          <w:rFonts w:cstheme="minorHAnsi"/>
          <w:color w:val="000000"/>
          <w:sz w:val="26"/>
          <w:szCs w:val="26"/>
          <w:shd w:val="clear" w:color="auto" w:fill="FFFFFF"/>
          <w:lang w:eastAsia="it-IT"/>
        </w:rPr>
        <w:t>sperimentato da qualche prefettura</w:t>
      </w:r>
      <w:r w:rsidRPr="0049784A">
        <w:rPr>
          <w:rFonts w:cstheme="minorHAnsi"/>
          <w:color w:val="000000"/>
          <w:sz w:val="26"/>
          <w:szCs w:val="26"/>
          <w:shd w:val="clear" w:color="auto" w:fill="FFFFFF"/>
          <w:lang w:eastAsia="it-IT"/>
        </w:rPr>
        <w:t xml:space="preserve">, </w:t>
      </w:r>
      <w:r w:rsidR="00C66300" w:rsidRPr="0049784A">
        <w:rPr>
          <w:rFonts w:cstheme="minorHAnsi"/>
          <w:color w:val="000000"/>
          <w:sz w:val="26"/>
          <w:szCs w:val="26"/>
          <w:shd w:val="clear" w:color="auto" w:fill="FFFFFF"/>
          <w:lang w:eastAsia="it-IT"/>
        </w:rPr>
        <w:t>prima di arrivare alla “</w:t>
      </w:r>
      <w:proofErr w:type="spellStart"/>
      <w:r w:rsidR="00C66300" w:rsidRPr="0049784A">
        <w:rPr>
          <w:rFonts w:cstheme="minorHAnsi"/>
          <w:color w:val="000000"/>
          <w:sz w:val="26"/>
          <w:szCs w:val="26"/>
          <w:shd w:val="clear" w:color="auto" w:fill="FFFFFF"/>
          <w:lang w:eastAsia="it-IT"/>
        </w:rPr>
        <w:t>extrema</w:t>
      </w:r>
      <w:proofErr w:type="spellEnd"/>
      <w:r w:rsidR="00C66300" w:rsidRPr="0049784A">
        <w:rPr>
          <w:rFonts w:cstheme="minorHAnsi"/>
          <w:color w:val="000000"/>
          <w:sz w:val="26"/>
          <w:szCs w:val="26"/>
          <w:shd w:val="clear" w:color="auto" w:fill="FFFFFF"/>
          <w:lang w:eastAsia="it-IT"/>
        </w:rPr>
        <w:t xml:space="preserve"> ratio” dello </w:t>
      </w:r>
      <w:r w:rsidRPr="0049784A">
        <w:rPr>
          <w:rFonts w:cstheme="minorHAnsi"/>
          <w:color w:val="000000"/>
          <w:sz w:val="26"/>
          <w:szCs w:val="26"/>
          <w:shd w:val="clear" w:color="auto" w:fill="FFFFFF"/>
          <w:lang w:eastAsia="it-IT"/>
        </w:rPr>
        <w:t>scioglimento dei consigli</w:t>
      </w:r>
      <w:r w:rsidR="00C66300" w:rsidRPr="0049784A">
        <w:rPr>
          <w:rFonts w:cstheme="minorHAnsi"/>
          <w:color w:val="000000"/>
          <w:sz w:val="26"/>
          <w:szCs w:val="26"/>
          <w:shd w:val="clear" w:color="auto" w:fill="FFFFFF"/>
          <w:lang w:eastAsia="it-IT"/>
        </w:rPr>
        <w:t>.</w:t>
      </w:r>
    </w:p>
    <w:p w14:paraId="129C8E5D" w14:textId="77777777" w:rsidR="00ED23A8" w:rsidRPr="0049784A" w:rsidRDefault="00ED23A8" w:rsidP="00ED23A8">
      <w:pPr>
        <w:spacing w:after="0" w:line="240" w:lineRule="auto"/>
        <w:ind w:hanging="360"/>
        <w:jc w:val="both"/>
        <w:rPr>
          <w:rFonts w:cstheme="minorHAnsi"/>
          <w:color w:val="000000"/>
          <w:sz w:val="26"/>
          <w:szCs w:val="26"/>
          <w:shd w:val="clear" w:color="auto" w:fill="FFFFFF"/>
          <w:lang w:eastAsia="it-IT"/>
        </w:rPr>
      </w:pPr>
    </w:p>
    <w:sectPr w:rsidR="00ED23A8" w:rsidRPr="004978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DCD"/>
    <w:multiLevelType w:val="hybridMultilevel"/>
    <w:tmpl w:val="8438C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032B3C"/>
    <w:multiLevelType w:val="hybridMultilevel"/>
    <w:tmpl w:val="9EEA1D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F35A23"/>
    <w:multiLevelType w:val="hybridMultilevel"/>
    <w:tmpl w:val="DFAC7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1F40E0"/>
    <w:multiLevelType w:val="hybridMultilevel"/>
    <w:tmpl w:val="37BCAD16"/>
    <w:lvl w:ilvl="0" w:tplc="732A83AE">
      <w:start w:val="1"/>
      <w:numFmt w:val="decimal"/>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77"/>
    <w:rsid w:val="000272BD"/>
    <w:rsid w:val="003B60A6"/>
    <w:rsid w:val="0049784A"/>
    <w:rsid w:val="00655687"/>
    <w:rsid w:val="00682660"/>
    <w:rsid w:val="006A0B40"/>
    <w:rsid w:val="00703484"/>
    <w:rsid w:val="0095133E"/>
    <w:rsid w:val="00C66300"/>
    <w:rsid w:val="00CA4958"/>
    <w:rsid w:val="00D44B31"/>
    <w:rsid w:val="00E87C9E"/>
    <w:rsid w:val="00EA0E77"/>
    <w:rsid w:val="00ED20DE"/>
    <w:rsid w:val="00ED2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E724"/>
  <w15:chartTrackingRefBased/>
  <w15:docId w15:val="{07A2B63C-5CF8-4C4B-89A4-A803AA6E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13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133E"/>
    <w:rPr>
      <w:rFonts w:ascii="Segoe UI" w:hAnsi="Segoe UI" w:cs="Segoe UI"/>
      <w:sz w:val="18"/>
      <w:szCs w:val="18"/>
    </w:rPr>
  </w:style>
  <w:style w:type="paragraph" w:styleId="Paragrafoelenco">
    <w:name w:val="List Paragraph"/>
    <w:basedOn w:val="Normale"/>
    <w:uiPriority w:val="34"/>
    <w:qFormat/>
    <w:rsid w:val="00ED23A8"/>
    <w:pPr>
      <w:ind w:left="720"/>
      <w:contextualSpacing/>
    </w:pPr>
  </w:style>
  <w:style w:type="character" w:customStyle="1" w:styleId="apple-converted-space">
    <w:name w:val="apple-converted-space"/>
    <w:basedOn w:val="Carpredefinitoparagrafo"/>
    <w:uiPriority w:val="99"/>
    <w:rsid w:val="00ED23A8"/>
    <w:rPr>
      <w:rFonts w:cs="Times New Roman"/>
    </w:rPr>
  </w:style>
  <w:style w:type="table" w:styleId="Grigliatabella">
    <w:name w:val="Table Grid"/>
    <w:basedOn w:val="Tabellanormale"/>
    <w:uiPriority w:val="39"/>
    <w:rsid w:val="003B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3994-FC72-47EA-A372-51769A60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5013</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Palombelli</dc:creator>
  <cp:keywords/>
  <dc:description/>
  <cp:lastModifiedBy>Barbara Perluigi</cp:lastModifiedBy>
  <cp:revision>2</cp:revision>
  <cp:lastPrinted>2019-12-06T10:12:00Z</cp:lastPrinted>
  <dcterms:created xsi:type="dcterms:W3CDTF">2019-12-12T16:19:00Z</dcterms:created>
  <dcterms:modified xsi:type="dcterms:W3CDTF">2019-12-12T16:19:00Z</dcterms:modified>
</cp:coreProperties>
</file>