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210ED" w14:textId="77777777" w:rsidR="00A872E4" w:rsidRDefault="00A872E4" w:rsidP="00A872E4">
      <w:pPr>
        <w:jc w:val="center"/>
        <w:rPr>
          <w:b/>
          <w:bCs/>
          <w:sz w:val="28"/>
          <w:szCs w:val="28"/>
        </w:rPr>
      </w:pPr>
    </w:p>
    <w:p w14:paraId="61A4F067" w14:textId="10CAF4C4" w:rsidR="00A872E4" w:rsidRDefault="00C01014" w:rsidP="00A872E4">
      <w:pPr>
        <w:jc w:val="center"/>
        <w:rPr>
          <w:b/>
          <w:bCs/>
          <w:sz w:val="28"/>
          <w:szCs w:val="28"/>
        </w:rPr>
      </w:pPr>
      <w:r>
        <w:rPr>
          <w:b/>
          <w:bCs/>
          <w:noProof/>
          <w:sz w:val="28"/>
          <w:szCs w:val="28"/>
        </w:rPr>
        <w:drawing>
          <wp:inline distT="0" distB="0" distL="0" distR="0" wp14:anchorId="551CC31E" wp14:editId="18B9F7A3">
            <wp:extent cx="2263110" cy="1866900"/>
            <wp:effectExtent l="0" t="0" r="4445" b="0"/>
            <wp:docPr id="1" name="Immagine 1"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3048" cy="1916344"/>
                    </a:xfrm>
                    <a:prstGeom prst="rect">
                      <a:avLst/>
                    </a:prstGeom>
                  </pic:spPr>
                </pic:pic>
              </a:graphicData>
            </a:graphic>
          </wp:inline>
        </w:drawing>
      </w:r>
    </w:p>
    <w:p w14:paraId="2A282504" w14:textId="7D03251C" w:rsidR="00A872E4" w:rsidRDefault="00A872E4" w:rsidP="00A872E4">
      <w:pPr>
        <w:jc w:val="center"/>
        <w:rPr>
          <w:b/>
          <w:bCs/>
          <w:sz w:val="28"/>
          <w:szCs w:val="28"/>
        </w:rPr>
      </w:pPr>
    </w:p>
    <w:p w14:paraId="7CB39F2D" w14:textId="11EE89CC" w:rsidR="00C01014" w:rsidRDefault="00C01014" w:rsidP="00A872E4">
      <w:pPr>
        <w:jc w:val="center"/>
        <w:rPr>
          <w:b/>
          <w:bCs/>
          <w:sz w:val="28"/>
          <w:szCs w:val="28"/>
        </w:rPr>
      </w:pPr>
    </w:p>
    <w:p w14:paraId="072901BF" w14:textId="4B34BD6D" w:rsidR="00C01014" w:rsidRDefault="00C01014" w:rsidP="00A872E4">
      <w:pPr>
        <w:jc w:val="center"/>
        <w:rPr>
          <w:b/>
          <w:bCs/>
          <w:sz w:val="28"/>
          <w:szCs w:val="28"/>
        </w:rPr>
      </w:pPr>
    </w:p>
    <w:p w14:paraId="4153CB8D" w14:textId="77777777" w:rsidR="00C01014" w:rsidRDefault="00C01014" w:rsidP="00A872E4">
      <w:pPr>
        <w:jc w:val="center"/>
        <w:rPr>
          <w:b/>
          <w:bCs/>
          <w:sz w:val="28"/>
          <w:szCs w:val="28"/>
        </w:rPr>
      </w:pPr>
    </w:p>
    <w:p w14:paraId="0978C33E" w14:textId="0FA78F10" w:rsidR="00A872E4" w:rsidRPr="0003483E" w:rsidRDefault="00A872E4" w:rsidP="00A872E4">
      <w:pPr>
        <w:jc w:val="center"/>
        <w:rPr>
          <w:b/>
          <w:bCs/>
          <w:sz w:val="40"/>
          <w:szCs w:val="40"/>
        </w:rPr>
      </w:pPr>
      <w:r w:rsidRPr="0003483E">
        <w:rPr>
          <w:b/>
          <w:bCs/>
          <w:sz w:val="40"/>
          <w:szCs w:val="40"/>
        </w:rPr>
        <w:t>Stati generali dell’economia</w:t>
      </w:r>
    </w:p>
    <w:p w14:paraId="762DD7C0" w14:textId="57B302A1" w:rsidR="002828E5" w:rsidRPr="0003483E" w:rsidRDefault="00A872E4" w:rsidP="00A872E4">
      <w:pPr>
        <w:jc w:val="center"/>
        <w:rPr>
          <w:b/>
          <w:bCs/>
          <w:sz w:val="40"/>
          <w:szCs w:val="40"/>
        </w:rPr>
      </w:pPr>
      <w:r w:rsidRPr="0003483E">
        <w:rPr>
          <w:b/>
          <w:bCs/>
          <w:sz w:val="40"/>
          <w:szCs w:val="40"/>
        </w:rPr>
        <w:t>PROGETTIAMO IL RILANCIO</w:t>
      </w:r>
    </w:p>
    <w:p w14:paraId="5A7FEFF9" w14:textId="6120D9E0" w:rsidR="00A872E4" w:rsidRPr="0003483E" w:rsidRDefault="00A872E4" w:rsidP="00A872E4">
      <w:pPr>
        <w:jc w:val="center"/>
        <w:rPr>
          <w:b/>
          <w:bCs/>
          <w:sz w:val="40"/>
          <w:szCs w:val="40"/>
        </w:rPr>
      </w:pPr>
      <w:r w:rsidRPr="0003483E">
        <w:rPr>
          <w:b/>
          <w:bCs/>
          <w:sz w:val="40"/>
          <w:szCs w:val="40"/>
        </w:rPr>
        <w:t>Il contributo delle Province per la ripresa del Paese</w:t>
      </w:r>
    </w:p>
    <w:p w14:paraId="445354E5" w14:textId="4BECABF5" w:rsidR="00A872E4" w:rsidRDefault="00A872E4" w:rsidP="00A872E4">
      <w:pPr>
        <w:jc w:val="center"/>
        <w:rPr>
          <w:b/>
          <w:bCs/>
          <w:sz w:val="28"/>
          <w:szCs w:val="28"/>
        </w:rPr>
      </w:pPr>
    </w:p>
    <w:p w14:paraId="518DBCE1" w14:textId="4593ECA3" w:rsidR="00A872E4" w:rsidRDefault="00A872E4" w:rsidP="00A872E4">
      <w:pPr>
        <w:jc w:val="center"/>
        <w:rPr>
          <w:b/>
          <w:bCs/>
          <w:sz w:val="28"/>
          <w:szCs w:val="28"/>
        </w:rPr>
      </w:pPr>
    </w:p>
    <w:p w14:paraId="56EA0E71" w14:textId="6C38EE19" w:rsidR="00A872E4" w:rsidRDefault="00A872E4" w:rsidP="00A872E4">
      <w:pPr>
        <w:jc w:val="center"/>
        <w:rPr>
          <w:b/>
          <w:bCs/>
          <w:sz w:val="28"/>
          <w:szCs w:val="28"/>
        </w:rPr>
      </w:pPr>
    </w:p>
    <w:p w14:paraId="5F13283F" w14:textId="7CFBD9C4" w:rsidR="00A872E4" w:rsidRDefault="00A872E4" w:rsidP="00A872E4">
      <w:pPr>
        <w:jc w:val="center"/>
        <w:rPr>
          <w:b/>
          <w:bCs/>
          <w:sz w:val="28"/>
          <w:szCs w:val="28"/>
        </w:rPr>
      </w:pPr>
    </w:p>
    <w:p w14:paraId="64DE2F15" w14:textId="3AC134A3" w:rsidR="00A872E4" w:rsidRDefault="00A872E4" w:rsidP="00A872E4">
      <w:pPr>
        <w:jc w:val="center"/>
        <w:rPr>
          <w:b/>
          <w:bCs/>
          <w:sz w:val="28"/>
          <w:szCs w:val="28"/>
        </w:rPr>
      </w:pPr>
    </w:p>
    <w:p w14:paraId="210D1C4C" w14:textId="0F03433D" w:rsidR="00A872E4" w:rsidRDefault="00A872E4" w:rsidP="00A872E4">
      <w:pPr>
        <w:jc w:val="center"/>
        <w:rPr>
          <w:b/>
          <w:bCs/>
          <w:sz w:val="28"/>
          <w:szCs w:val="28"/>
        </w:rPr>
      </w:pPr>
    </w:p>
    <w:p w14:paraId="0B373469" w14:textId="5FE24AED" w:rsidR="00A872E4" w:rsidRDefault="00A872E4" w:rsidP="00A872E4">
      <w:pPr>
        <w:jc w:val="center"/>
        <w:rPr>
          <w:b/>
          <w:bCs/>
          <w:sz w:val="28"/>
          <w:szCs w:val="28"/>
        </w:rPr>
      </w:pPr>
    </w:p>
    <w:p w14:paraId="07615B70" w14:textId="3CFD9C66" w:rsidR="00A872E4" w:rsidRDefault="00A872E4" w:rsidP="00A872E4">
      <w:pPr>
        <w:jc w:val="center"/>
        <w:rPr>
          <w:b/>
          <w:bCs/>
          <w:sz w:val="28"/>
          <w:szCs w:val="28"/>
        </w:rPr>
      </w:pPr>
    </w:p>
    <w:p w14:paraId="6865BE2F" w14:textId="223DF5B4" w:rsidR="00A872E4" w:rsidRDefault="00A872E4" w:rsidP="00A872E4">
      <w:pPr>
        <w:jc w:val="center"/>
        <w:rPr>
          <w:b/>
          <w:bCs/>
          <w:sz w:val="28"/>
          <w:szCs w:val="28"/>
        </w:rPr>
      </w:pPr>
    </w:p>
    <w:p w14:paraId="3E07D20F" w14:textId="4D1250DB" w:rsidR="00A872E4" w:rsidRDefault="00A872E4" w:rsidP="00A872E4">
      <w:pPr>
        <w:jc w:val="center"/>
        <w:rPr>
          <w:b/>
          <w:bCs/>
          <w:sz w:val="28"/>
          <w:szCs w:val="28"/>
        </w:rPr>
      </w:pPr>
    </w:p>
    <w:p w14:paraId="52B4BF5E" w14:textId="7B1E62DE" w:rsidR="00A872E4" w:rsidRDefault="00A872E4" w:rsidP="00A872E4">
      <w:pPr>
        <w:jc w:val="center"/>
        <w:rPr>
          <w:b/>
          <w:bCs/>
          <w:sz w:val="28"/>
          <w:szCs w:val="28"/>
        </w:rPr>
      </w:pPr>
    </w:p>
    <w:p w14:paraId="357938DA" w14:textId="659FBDED" w:rsidR="00A872E4" w:rsidRDefault="00A872E4" w:rsidP="00737F7D">
      <w:pPr>
        <w:jc w:val="center"/>
        <w:rPr>
          <w:b/>
          <w:bCs/>
          <w:sz w:val="28"/>
          <w:szCs w:val="28"/>
        </w:rPr>
      </w:pPr>
      <w:r>
        <w:rPr>
          <w:b/>
          <w:bCs/>
          <w:sz w:val="28"/>
          <w:szCs w:val="28"/>
        </w:rPr>
        <w:t>Roma, 15 giugno 2020</w:t>
      </w:r>
    </w:p>
    <w:p w14:paraId="0AA8CBEE" w14:textId="06F5822E" w:rsidR="00A872E4" w:rsidRDefault="00A872E4" w:rsidP="00A872E4">
      <w:pPr>
        <w:pStyle w:val="Paragrafoelenco"/>
        <w:numPr>
          <w:ilvl w:val="0"/>
          <w:numId w:val="1"/>
        </w:numPr>
        <w:jc w:val="both"/>
        <w:rPr>
          <w:b/>
          <w:bCs/>
          <w:sz w:val="28"/>
          <w:szCs w:val="28"/>
        </w:rPr>
      </w:pPr>
      <w:r>
        <w:rPr>
          <w:b/>
          <w:bCs/>
          <w:sz w:val="28"/>
          <w:szCs w:val="28"/>
        </w:rPr>
        <w:lastRenderedPageBreak/>
        <w:t>Progettare il futuro partendo dai territori</w:t>
      </w:r>
    </w:p>
    <w:p w14:paraId="75E42691" w14:textId="0C856E52" w:rsidR="00605246" w:rsidRPr="00C01014" w:rsidRDefault="00605246" w:rsidP="00605246">
      <w:pPr>
        <w:jc w:val="both"/>
        <w:rPr>
          <w:rFonts w:cstheme="minorHAnsi"/>
          <w:sz w:val="26"/>
          <w:szCs w:val="26"/>
        </w:rPr>
      </w:pPr>
      <w:r w:rsidRPr="00C01014">
        <w:rPr>
          <w:rFonts w:cstheme="minorHAnsi"/>
          <w:sz w:val="26"/>
          <w:szCs w:val="26"/>
        </w:rPr>
        <w:t>Progettare il futuro dopo</w:t>
      </w:r>
      <w:r w:rsidR="009472FD" w:rsidRPr="00C01014">
        <w:rPr>
          <w:rFonts w:cstheme="minorHAnsi"/>
          <w:sz w:val="26"/>
          <w:szCs w:val="26"/>
        </w:rPr>
        <w:t xml:space="preserve"> la crisi sanitaria </w:t>
      </w:r>
      <w:r w:rsidRPr="00C01014">
        <w:rPr>
          <w:rFonts w:cstheme="minorHAnsi"/>
          <w:sz w:val="26"/>
          <w:szCs w:val="26"/>
        </w:rPr>
        <w:t>Covid</w:t>
      </w:r>
      <w:r w:rsidR="009472FD" w:rsidRPr="00C01014">
        <w:rPr>
          <w:rFonts w:cstheme="minorHAnsi"/>
          <w:sz w:val="26"/>
          <w:szCs w:val="26"/>
        </w:rPr>
        <w:t>19</w:t>
      </w:r>
      <w:r w:rsidRPr="00C01014">
        <w:rPr>
          <w:rFonts w:cstheme="minorHAnsi"/>
          <w:sz w:val="26"/>
          <w:szCs w:val="26"/>
        </w:rPr>
        <w:t xml:space="preserve"> non può non partire dalla considerazione di quanto l’opera di disimpegno dello Stato dai territori, sia a livello politico attraverso il tentativo</w:t>
      </w:r>
      <w:r w:rsidR="009472FD" w:rsidRPr="00C01014">
        <w:rPr>
          <w:rFonts w:cstheme="minorHAnsi"/>
          <w:sz w:val="26"/>
          <w:szCs w:val="26"/>
        </w:rPr>
        <w:t xml:space="preserve"> -</w:t>
      </w:r>
      <w:r w:rsidRPr="00C01014">
        <w:rPr>
          <w:rFonts w:cstheme="minorHAnsi"/>
          <w:sz w:val="26"/>
          <w:szCs w:val="26"/>
        </w:rPr>
        <w:t xml:space="preserve"> non riuscito</w:t>
      </w:r>
      <w:r w:rsidR="009472FD" w:rsidRPr="00C01014">
        <w:rPr>
          <w:rFonts w:cstheme="minorHAnsi"/>
          <w:sz w:val="26"/>
          <w:szCs w:val="26"/>
        </w:rPr>
        <w:t xml:space="preserve">- </w:t>
      </w:r>
      <w:r w:rsidRPr="00C01014">
        <w:rPr>
          <w:rFonts w:cstheme="minorHAnsi"/>
          <w:sz w:val="26"/>
          <w:szCs w:val="26"/>
        </w:rPr>
        <w:t>di cancellare i livelli intermedi, sia a livello economico, attraverso un</w:t>
      </w:r>
      <w:r w:rsidR="009472FD" w:rsidRPr="00C01014">
        <w:rPr>
          <w:rFonts w:cstheme="minorHAnsi"/>
          <w:sz w:val="26"/>
          <w:szCs w:val="26"/>
        </w:rPr>
        <w:t>a</w:t>
      </w:r>
      <w:r w:rsidRPr="00C01014">
        <w:rPr>
          <w:rFonts w:cstheme="minorHAnsi"/>
          <w:sz w:val="26"/>
          <w:szCs w:val="26"/>
        </w:rPr>
        <w:t xml:space="preserve"> sostanziale </w:t>
      </w:r>
      <w:r w:rsidR="009472FD" w:rsidRPr="00C01014">
        <w:rPr>
          <w:rFonts w:cstheme="minorHAnsi"/>
          <w:sz w:val="26"/>
          <w:szCs w:val="26"/>
        </w:rPr>
        <w:t>riduzione</w:t>
      </w:r>
      <w:r w:rsidRPr="00C01014">
        <w:rPr>
          <w:rFonts w:cstheme="minorHAnsi"/>
          <w:sz w:val="26"/>
          <w:szCs w:val="26"/>
        </w:rPr>
        <w:t xml:space="preserve"> d</w:t>
      </w:r>
      <w:r w:rsidR="009472FD" w:rsidRPr="00C01014">
        <w:rPr>
          <w:rFonts w:cstheme="minorHAnsi"/>
          <w:sz w:val="26"/>
          <w:szCs w:val="26"/>
        </w:rPr>
        <w:t>elle</w:t>
      </w:r>
      <w:r w:rsidRPr="00C01014">
        <w:rPr>
          <w:rFonts w:cstheme="minorHAnsi"/>
          <w:sz w:val="26"/>
          <w:szCs w:val="26"/>
        </w:rPr>
        <w:t xml:space="preserve"> risorse</w:t>
      </w:r>
      <w:r w:rsidR="009472FD" w:rsidRPr="00C01014">
        <w:rPr>
          <w:rFonts w:cstheme="minorHAnsi"/>
          <w:sz w:val="26"/>
          <w:szCs w:val="26"/>
        </w:rPr>
        <w:t xml:space="preserve"> destinate alla cura delle aree interne, a vantaggio dei </w:t>
      </w:r>
      <w:r w:rsidRPr="00C01014">
        <w:rPr>
          <w:rFonts w:cstheme="minorHAnsi"/>
          <w:sz w:val="26"/>
          <w:szCs w:val="26"/>
        </w:rPr>
        <w:t>grandi centri urbani, abbia contribuito a rendere fragile il sistema Paese.</w:t>
      </w:r>
    </w:p>
    <w:p w14:paraId="25BE8345" w14:textId="202B8375" w:rsidR="00605246" w:rsidRPr="00C01014" w:rsidRDefault="00605246" w:rsidP="00605246">
      <w:pPr>
        <w:jc w:val="both"/>
        <w:rPr>
          <w:rFonts w:eastAsia="Times New Roman" w:cstheme="minorHAnsi"/>
          <w:sz w:val="26"/>
          <w:szCs w:val="26"/>
          <w:lang w:eastAsia="it-IT"/>
        </w:rPr>
      </w:pPr>
      <w:r w:rsidRPr="00C01014">
        <w:rPr>
          <w:rFonts w:cstheme="minorHAnsi"/>
          <w:sz w:val="26"/>
          <w:szCs w:val="26"/>
        </w:rPr>
        <w:t>Una strateg</w:t>
      </w:r>
      <w:r w:rsidR="009472FD" w:rsidRPr="00C01014">
        <w:rPr>
          <w:rFonts w:cstheme="minorHAnsi"/>
          <w:sz w:val="26"/>
          <w:szCs w:val="26"/>
        </w:rPr>
        <w:t>i</w:t>
      </w:r>
      <w:r w:rsidRPr="00C01014">
        <w:rPr>
          <w:rFonts w:cstheme="minorHAnsi"/>
          <w:sz w:val="26"/>
          <w:szCs w:val="26"/>
        </w:rPr>
        <w:t xml:space="preserve">a di ripresa che non </w:t>
      </w:r>
      <w:r w:rsidR="009472FD" w:rsidRPr="00C01014">
        <w:rPr>
          <w:rFonts w:cstheme="minorHAnsi"/>
          <w:sz w:val="26"/>
          <w:szCs w:val="26"/>
        </w:rPr>
        <w:t>consideri fondamentali i</w:t>
      </w:r>
      <w:r w:rsidRPr="00C01014">
        <w:rPr>
          <w:rFonts w:eastAsia="Times New Roman" w:cstheme="minorHAnsi"/>
          <w:sz w:val="26"/>
          <w:szCs w:val="26"/>
          <w:lang w:eastAsia="it-IT"/>
        </w:rPr>
        <w:t xml:space="preserve"> </w:t>
      </w:r>
      <w:r w:rsidR="00590966" w:rsidRPr="00C01014">
        <w:rPr>
          <w:rFonts w:eastAsia="Times New Roman" w:cstheme="minorHAnsi"/>
          <w:sz w:val="26"/>
          <w:szCs w:val="26"/>
          <w:lang w:eastAsia="it-IT"/>
        </w:rPr>
        <w:t>sistemi territoriali</w:t>
      </w:r>
      <w:r w:rsidRPr="00C01014">
        <w:rPr>
          <w:rFonts w:eastAsia="Times New Roman" w:cstheme="minorHAnsi"/>
          <w:sz w:val="26"/>
          <w:szCs w:val="26"/>
          <w:lang w:eastAsia="it-IT"/>
        </w:rPr>
        <w:t xml:space="preserve"> come elementi chiave d</w:t>
      </w:r>
      <w:r w:rsidR="009472FD" w:rsidRPr="00C01014">
        <w:rPr>
          <w:rFonts w:eastAsia="Times New Roman" w:cstheme="minorHAnsi"/>
          <w:sz w:val="26"/>
          <w:szCs w:val="26"/>
          <w:lang w:eastAsia="it-IT"/>
        </w:rPr>
        <w:t xml:space="preserve">a cui muovere </w:t>
      </w:r>
      <w:r w:rsidRPr="00C01014">
        <w:rPr>
          <w:rFonts w:eastAsia="Times New Roman" w:cstheme="minorHAnsi"/>
          <w:sz w:val="26"/>
          <w:szCs w:val="26"/>
          <w:lang w:eastAsia="it-IT"/>
        </w:rPr>
        <w:t xml:space="preserve">gli </w:t>
      </w:r>
      <w:r w:rsidR="00590966" w:rsidRPr="00C01014">
        <w:rPr>
          <w:rFonts w:eastAsia="Times New Roman" w:cstheme="minorHAnsi"/>
          <w:sz w:val="26"/>
          <w:szCs w:val="26"/>
          <w:lang w:eastAsia="it-IT"/>
        </w:rPr>
        <w:t xml:space="preserve">obiettivi di </w:t>
      </w:r>
      <w:r w:rsidR="009472FD" w:rsidRPr="00C01014">
        <w:rPr>
          <w:rFonts w:eastAsia="Times New Roman" w:cstheme="minorHAnsi"/>
          <w:sz w:val="26"/>
          <w:szCs w:val="26"/>
          <w:lang w:eastAsia="it-IT"/>
        </w:rPr>
        <w:t>sviluppo</w:t>
      </w:r>
      <w:r w:rsidRPr="00C01014">
        <w:rPr>
          <w:rFonts w:eastAsia="Times New Roman" w:cstheme="minorHAnsi"/>
          <w:sz w:val="26"/>
          <w:szCs w:val="26"/>
          <w:lang w:eastAsia="it-IT"/>
        </w:rPr>
        <w:t xml:space="preserve"> è destinata a fallire. </w:t>
      </w:r>
    </w:p>
    <w:p w14:paraId="66F49084" w14:textId="18EDC96B" w:rsidR="00590966" w:rsidRPr="00C01014" w:rsidRDefault="00605246" w:rsidP="00605246">
      <w:pPr>
        <w:jc w:val="both"/>
        <w:rPr>
          <w:rFonts w:eastAsia="Times New Roman" w:cstheme="minorHAnsi"/>
          <w:sz w:val="26"/>
          <w:szCs w:val="26"/>
          <w:lang w:eastAsia="it-IT"/>
        </w:rPr>
      </w:pPr>
      <w:r w:rsidRPr="00C01014">
        <w:rPr>
          <w:rFonts w:eastAsia="Times New Roman" w:cstheme="minorHAnsi"/>
          <w:sz w:val="26"/>
          <w:szCs w:val="26"/>
          <w:lang w:eastAsia="it-IT"/>
        </w:rPr>
        <w:t>I sistemi territoriali, di fronte alla criticit</w:t>
      </w:r>
      <w:r w:rsidR="00F81AF2" w:rsidRPr="00C01014">
        <w:rPr>
          <w:rFonts w:eastAsia="Times New Roman" w:cstheme="minorHAnsi"/>
          <w:sz w:val="26"/>
          <w:szCs w:val="26"/>
          <w:lang w:eastAsia="it-IT"/>
        </w:rPr>
        <w:t xml:space="preserve">à sanitaria prima e alla drammatica fragilità economica ora, sono </w:t>
      </w:r>
      <w:r w:rsidR="009472FD" w:rsidRPr="00C01014">
        <w:rPr>
          <w:rFonts w:eastAsia="Times New Roman" w:cstheme="minorHAnsi"/>
          <w:sz w:val="26"/>
          <w:szCs w:val="26"/>
          <w:lang w:eastAsia="it-IT"/>
        </w:rPr>
        <w:t>il luogo principale della partecipazione</w:t>
      </w:r>
      <w:r w:rsidR="00F81AF2" w:rsidRPr="00C01014">
        <w:rPr>
          <w:rFonts w:eastAsia="Times New Roman" w:cstheme="minorHAnsi"/>
          <w:sz w:val="26"/>
          <w:szCs w:val="26"/>
          <w:lang w:eastAsia="it-IT"/>
        </w:rPr>
        <w:t xml:space="preserve">, condivisione, coprogettazione </w:t>
      </w:r>
      <w:r w:rsidR="00590966" w:rsidRPr="00C01014">
        <w:rPr>
          <w:rFonts w:eastAsia="Times New Roman" w:cstheme="minorHAnsi"/>
          <w:sz w:val="26"/>
          <w:szCs w:val="26"/>
          <w:lang w:eastAsia="it-IT"/>
        </w:rPr>
        <w:t>de</w:t>
      </w:r>
      <w:r w:rsidR="00F81AF2" w:rsidRPr="00C01014">
        <w:rPr>
          <w:rFonts w:eastAsia="Times New Roman" w:cstheme="minorHAnsi"/>
          <w:sz w:val="26"/>
          <w:szCs w:val="26"/>
          <w:lang w:eastAsia="it-IT"/>
        </w:rPr>
        <w:t>lle comunità</w:t>
      </w:r>
      <w:r w:rsidR="009472FD" w:rsidRPr="00C01014">
        <w:rPr>
          <w:rFonts w:eastAsia="Times New Roman" w:cstheme="minorHAnsi"/>
          <w:sz w:val="26"/>
          <w:szCs w:val="26"/>
          <w:lang w:eastAsia="it-IT"/>
        </w:rPr>
        <w:t>,</w:t>
      </w:r>
      <w:r w:rsidR="00F81AF2" w:rsidRPr="00C01014">
        <w:rPr>
          <w:rFonts w:eastAsia="Times New Roman" w:cstheme="minorHAnsi"/>
          <w:sz w:val="26"/>
          <w:szCs w:val="26"/>
          <w:lang w:eastAsia="it-IT"/>
        </w:rPr>
        <w:t xml:space="preserve"> nella loro interezza, </w:t>
      </w:r>
      <w:r w:rsidR="00590966" w:rsidRPr="00C01014">
        <w:rPr>
          <w:rFonts w:eastAsia="Times New Roman" w:cstheme="minorHAnsi"/>
          <w:sz w:val="26"/>
          <w:szCs w:val="26"/>
          <w:lang w:eastAsia="it-IT"/>
        </w:rPr>
        <w:t>ai processi decisionali.</w:t>
      </w:r>
    </w:p>
    <w:p w14:paraId="19540660" w14:textId="519B2D35" w:rsidR="00F81AF2" w:rsidRPr="00C01014" w:rsidRDefault="00F81AF2" w:rsidP="00605246">
      <w:pPr>
        <w:jc w:val="both"/>
        <w:rPr>
          <w:rFonts w:eastAsia="Times New Roman" w:cstheme="minorHAnsi"/>
          <w:sz w:val="26"/>
          <w:szCs w:val="26"/>
          <w:lang w:eastAsia="it-IT"/>
        </w:rPr>
      </w:pPr>
      <w:r w:rsidRPr="00C01014">
        <w:rPr>
          <w:rFonts w:eastAsia="Times New Roman" w:cstheme="minorHAnsi"/>
          <w:sz w:val="26"/>
          <w:szCs w:val="26"/>
          <w:lang w:eastAsia="it-IT"/>
        </w:rPr>
        <w:t xml:space="preserve">Le proposte che Unione delle Province d’Italia porta come </w:t>
      </w:r>
      <w:r w:rsidR="009472FD" w:rsidRPr="00C01014">
        <w:rPr>
          <w:rFonts w:eastAsia="Times New Roman" w:cstheme="minorHAnsi"/>
          <w:sz w:val="26"/>
          <w:szCs w:val="26"/>
          <w:lang w:eastAsia="it-IT"/>
        </w:rPr>
        <w:t>contributo agli</w:t>
      </w:r>
      <w:r w:rsidRPr="00C01014">
        <w:rPr>
          <w:rFonts w:eastAsia="Times New Roman" w:cstheme="minorHAnsi"/>
          <w:sz w:val="26"/>
          <w:szCs w:val="26"/>
          <w:lang w:eastAsia="it-IT"/>
        </w:rPr>
        <w:t xml:space="preserve"> Stati Generali </w:t>
      </w:r>
      <w:r w:rsidR="00AE23DA" w:rsidRPr="00C01014">
        <w:rPr>
          <w:rFonts w:eastAsia="Times New Roman" w:cstheme="minorHAnsi"/>
          <w:sz w:val="26"/>
          <w:szCs w:val="26"/>
          <w:lang w:eastAsia="it-IT"/>
        </w:rPr>
        <w:t xml:space="preserve">dell’economia </w:t>
      </w:r>
      <w:r w:rsidRPr="00C01014">
        <w:rPr>
          <w:rFonts w:eastAsia="Times New Roman" w:cstheme="minorHAnsi"/>
          <w:sz w:val="26"/>
          <w:szCs w:val="26"/>
          <w:lang w:eastAsia="it-IT"/>
        </w:rPr>
        <w:t>muovono dalla considerazione che è prioritario:</w:t>
      </w:r>
    </w:p>
    <w:p w14:paraId="7F015768" w14:textId="4D36224B" w:rsidR="00F81AF2" w:rsidRPr="00C01014" w:rsidRDefault="009472FD" w:rsidP="00F81AF2">
      <w:pPr>
        <w:pStyle w:val="Paragrafoelenco"/>
        <w:numPr>
          <w:ilvl w:val="0"/>
          <w:numId w:val="3"/>
        </w:numPr>
        <w:jc w:val="both"/>
        <w:rPr>
          <w:rFonts w:eastAsia="Times New Roman" w:cstheme="minorHAnsi"/>
          <w:sz w:val="26"/>
          <w:szCs w:val="26"/>
          <w:lang w:eastAsia="it-IT"/>
        </w:rPr>
      </w:pPr>
      <w:r w:rsidRPr="00C01014">
        <w:rPr>
          <w:rFonts w:eastAsia="Times New Roman" w:cstheme="minorHAnsi"/>
          <w:sz w:val="26"/>
          <w:szCs w:val="26"/>
          <w:lang w:eastAsia="it-IT"/>
        </w:rPr>
        <w:t>r</w:t>
      </w:r>
      <w:r w:rsidR="00F81AF2" w:rsidRPr="00C01014">
        <w:rPr>
          <w:rFonts w:eastAsia="Times New Roman" w:cstheme="minorHAnsi"/>
          <w:sz w:val="26"/>
          <w:szCs w:val="26"/>
          <w:lang w:eastAsia="it-IT"/>
        </w:rPr>
        <w:t>icostruire il Paese attorno ad ecosistemi locali nei quali tutti gli attori istituzionali (</w:t>
      </w:r>
      <w:r w:rsidRPr="00C01014">
        <w:rPr>
          <w:rFonts w:eastAsia="Times New Roman" w:cstheme="minorHAnsi"/>
          <w:sz w:val="26"/>
          <w:szCs w:val="26"/>
          <w:lang w:eastAsia="it-IT"/>
        </w:rPr>
        <w:t xml:space="preserve">Province, Città Metropolitane, Comuni, </w:t>
      </w:r>
      <w:r w:rsidR="00F04542" w:rsidRPr="00C01014">
        <w:rPr>
          <w:rFonts w:eastAsia="Times New Roman" w:cstheme="minorHAnsi"/>
          <w:sz w:val="26"/>
          <w:szCs w:val="26"/>
          <w:lang w:eastAsia="it-IT"/>
        </w:rPr>
        <w:t>Prefetture</w:t>
      </w:r>
      <w:r w:rsidR="00F04542">
        <w:rPr>
          <w:rFonts w:eastAsia="Times New Roman" w:cstheme="minorHAnsi"/>
          <w:sz w:val="26"/>
          <w:szCs w:val="26"/>
          <w:lang w:eastAsia="it-IT"/>
        </w:rPr>
        <w:t xml:space="preserve">, </w:t>
      </w:r>
      <w:r w:rsidRPr="00C01014">
        <w:rPr>
          <w:rFonts w:eastAsia="Times New Roman" w:cstheme="minorHAnsi"/>
          <w:sz w:val="26"/>
          <w:szCs w:val="26"/>
          <w:lang w:eastAsia="it-IT"/>
        </w:rPr>
        <w:t>Camere di commercio</w:t>
      </w:r>
      <w:r w:rsidR="00F81AF2" w:rsidRPr="00C01014">
        <w:rPr>
          <w:rFonts w:eastAsia="Times New Roman" w:cstheme="minorHAnsi"/>
          <w:sz w:val="26"/>
          <w:szCs w:val="26"/>
          <w:lang w:eastAsia="it-IT"/>
        </w:rPr>
        <w:t xml:space="preserve">) programmano lo sviluppo e si coordinano </w:t>
      </w:r>
      <w:r w:rsidR="00AE23DA" w:rsidRPr="00C01014">
        <w:rPr>
          <w:rFonts w:eastAsia="Times New Roman" w:cstheme="minorHAnsi"/>
          <w:sz w:val="26"/>
          <w:szCs w:val="26"/>
          <w:lang w:eastAsia="it-IT"/>
        </w:rPr>
        <w:t xml:space="preserve">per </w:t>
      </w:r>
      <w:r w:rsidR="00F81AF2" w:rsidRPr="00C01014">
        <w:rPr>
          <w:rFonts w:eastAsia="Times New Roman" w:cstheme="minorHAnsi"/>
          <w:sz w:val="26"/>
          <w:szCs w:val="26"/>
          <w:lang w:eastAsia="it-IT"/>
        </w:rPr>
        <w:t xml:space="preserve">assicurare alle forze economiche e sociali, alle comunità e ai territori, un raccordo saldo con Regione, Stato ed Unione Europea, così da </w:t>
      </w:r>
      <w:r w:rsidRPr="00C01014">
        <w:rPr>
          <w:rFonts w:eastAsia="Times New Roman" w:cstheme="minorHAnsi"/>
          <w:sz w:val="26"/>
          <w:szCs w:val="26"/>
          <w:lang w:eastAsia="it-IT"/>
        </w:rPr>
        <w:t>promuovere l’utilizzo</w:t>
      </w:r>
      <w:r w:rsidR="00F81AF2" w:rsidRPr="00C01014">
        <w:rPr>
          <w:rFonts w:eastAsia="Times New Roman" w:cstheme="minorHAnsi"/>
          <w:sz w:val="26"/>
          <w:szCs w:val="26"/>
          <w:lang w:eastAsia="it-IT"/>
        </w:rPr>
        <w:t xml:space="preserve"> più efficiente di tutte le opportunità.</w:t>
      </w:r>
    </w:p>
    <w:p w14:paraId="09DA7B93" w14:textId="69DA2897" w:rsidR="00F81AF2" w:rsidRPr="00C01014" w:rsidRDefault="00AE23DA" w:rsidP="00F81AF2">
      <w:pPr>
        <w:pStyle w:val="Paragrafoelenco"/>
        <w:numPr>
          <w:ilvl w:val="0"/>
          <w:numId w:val="3"/>
        </w:numPr>
        <w:jc w:val="both"/>
        <w:rPr>
          <w:rFonts w:eastAsia="Times New Roman" w:cstheme="minorHAnsi"/>
          <w:sz w:val="26"/>
          <w:szCs w:val="26"/>
          <w:lang w:eastAsia="it-IT"/>
        </w:rPr>
      </w:pPr>
      <w:r w:rsidRPr="00C01014">
        <w:rPr>
          <w:rFonts w:eastAsia="Times New Roman" w:cstheme="minorHAnsi"/>
          <w:sz w:val="26"/>
          <w:szCs w:val="26"/>
          <w:lang w:eastAsia="it-IT"/>
        </w:rPr>
        <w:t>Considerare l</w:t>
      </w:r>
      <w:r w:rsidR="00F81AF2" w:rsidRPr="00C01014">
        <w:rPr>
          <w:rFonts w:eastAsia="Times New Roman" w:cstheme="minorHAnsi"/>
          <w:sz w:val="26"/>
          <w:szCs w:val="26"/>
          <w:lang w:eastAsia="it-IT"/>
        </w:rPr>
        <w:t xml:space="preserve">a scuola </w:t>
      </w:r>
      <w:r w:rsidRPr="00C01014">
        <w:rPr>
          <w:rFonts w:eastAsia="Times New Roman" w:cstheme="minorHAnsi"/>
          <w:sz w:val="26"/>
          <w:szCs w:val="26"/>
          <w:lang w:eastAsia="it-IT"/>
        </w:rPr>
        <w:t>quale</w:t>
      </w:r>
      <w:r w:rsidR="00F81AF2" w:rsidRPr="00C01014">
        <w:rPr>
          <w:rFonts w:eastAsia="Times New Roman" w:cstheme="minorHAnsi"/>
          <w:sz w:val="26"/>
          <w:szCs w:val="26"/>
          <w:lang w:eastAsia="it-IT"/>
        </w:rPr>
        <w:t xml:space="preserve"> l’istituzione cui lo Stato deve il maggior contributo, per sanare le gravissime fragilità emerse in questa crisi sanitaria e iniziare la costruzione di un nuovo modo di pensare l’istruzione,</w:t>
      </w:r>
      <w:r w:rsidRPr="00C01014">
        <w:rPr>
          <w:rFonts w:eastAsia="Times New Roman" w:cstheme="minorHAnsi"/>
          <w:sz w:val="26"/>
          <w:szCs w:val="26"/>
          <w:lang w:eastAsia="it-IT"/>
        </w:rPr>
        <w:t xml:space="preserve"> che offra agli studenti opportunità di crescita</w:t>
      </w:r>
      <w:r w:rsidR="00F81AF2" w:rsidRPr="00C01014">
        <w:rPr>
          <w:rFonts w:eastAsia="Times New Roman" w:cstheme="minorHAnsi"/>
          <w:sz w:val="26"/>
          <w:szCs w:val="26"/>
          <w:lang w:eastAsia="it-IT"/>
        </w:rPr>
        <w:t xml:space="preserve"> </w:t>
      </w:r>
      <w:r w:rsidRPr="00C01014">
        <w:rPr>
          <w:rFonts w:eastAsia="Times New Roman" w:cstheme="minorHAnsi"/>
          <w:sz w:val="26"/>
          <w:szCs w:val="26"/>
          <w:lang w:eastAsia="it-IT"/>
        </w:rPr>
        <w:t xml:space="preserve">e pieno godimento del diritto allo studio a partire </w:t>
      </w:r>
      <w:r w:rsidR="00F81AF2" w:rsidRPr="00C01014">
        <w:rPr>
          <w:rFonts w:eastAsia="Times New Roman" w:cstheme="minorHAnsi"/>
          <w:sz w:val="26"/>
          <w:szCs w:val="26"/>
          <w:lang w:eastAsia="it-IT"/>
        </w:rPr>
        <w:t xml:space="preserve">dagli edifici </w:t>
      </w:r>
      <w:r w:rsidRPr="00C01014">
        <w:rPr>
          <w:rFonts w:eastAsia="Times New Roman" w:cstheme="minorHAnsi"/>
          <w:sz w:val="26"/>
          <w:szCs w:val="26"/>
          <w:lang w:eastAsia="it-IT"/>
        </w:rPr>
        <w:t>e d</w:t>
      </w:r>
      <w:r w:rsidR="00F81AF2" w:rsidRPr="00C01014">
        <w:rPr>
          <w:rFonts w:eastAsia="Times New Roman" w:cstheme="minorHAnsi"/>
          <w:sz w:val="26"/>
          <w:szCs w:val="26"/>
          <w:lang w:eastAsia="it-IT"/>
        </w:rPr>
        <w:t>agli spazi di apprendimento.</w:t>
      </w:r>
    </w:p>
    <w:p w14:paraId="7734557C" w14:textId="1B0CE019" w:rsidR="00F81AF2" w:rsidRPr="00C01014" w:rsidRDefault="00AE23DA" w:rsidP="00F81AF2">
      <w:pPr>
        <w:pStyle w:val="Paragrafoelenco"/>
        <w:numPr>
          <w:ilvl w:val="0"/>
          <w:numId w:val="3"/>
        </w:numPr>
        <w:jc w:val="both"/>
        <w:rPr>
          <w:rFonts w:eastAsia="Times New Roman" w:cstheme="minorHAnsi"/>
          <w:sz w:val="26"/>
          <w:szCs w:val="26"/>
          <w:lang w:eastAsia="it-IT"/>
        </w:rPr>
      </w:pPr>
      <w:r w:rsidRPr="00C01014">
        <w:rPr>
          <w:rFonts w:eastAsia="Times New Roman" w:cstheme="minorHAnsi"/>
          <w:sz w:val="26"/>
          <w:szCs w:val="26"/>
          <w:lang w:eastAsia="it-IT"/>
        </w:rPr>
        <w:t>Riportare al centro degli investimenti la rete delle</w:t>
      </w:r>
      <w:r w:rsidR="00F81AF2" w:rsidRPr="00C01014">
        <w:rPr>
          <w:rFonts w:eastAsia="Times New Roman" w:cstheme="minorHAnsi"/>
          <w:sz w:val="26"/>
          <w:szCs w:val="26"/>
          <w:lang w:eastAsia="it-IT"/>
        </w:rPr>
        <w:t xml:space="preserve"> infrastrutture viarie </w:t>
      </w:r>
      <w:r w:rsidRPr="00C01014">
        <w:rPr>
          <w:rFonts w:eastAsia="Times New Roman" w:cstheme="minorHAnsi"/>
          <w:sz w:val="26"/>
          <w:szCs w:val="26"/>
          <w:lang w:eastAsia="it-IT"/>
        </w:rPr>
        <w:t>provinciali, che nella ripresa economica assumono importanza strategi</w:t>
      </w:r>
      <w:r w:rsidR="00F04542">
        <w:rPr>
          <w:rFonts w:eastAsia="Times New Roman" w:cstheme="minorHAnsi"/>
          <w:sz w:val="26"/>
          <w:szCs w:val="26"/>
          <w:lang w:eastAsia="it-IT"/>
        </w:rPr>
        <w:t>c</w:t>
      </w:r>
      <w:r w:rsidRPr="00C01014">
        <w:rPr>
          <w:rFonts w:eastAsia="Times New Roman" w:cstheme="minorHAnsi"/>
          <w:sz w:val="26"/>
          <w:szCs w:val="26"/>
          <w:lang w:eastAsia="it-IT"/>
        </w:rPr>
        <w:t xml:space="preserve">a per la capacità di connettere </w:t>
      </w:r>
      <w:r w:rsidR="00F81AF2" w:rsidRPr="00C01014">
        <w:rPr>
          <w:rFonts w:eastAsia="Times New Roman" w:cstheme="minorHAnsi"/>
          <w:sz w:val="26"/>
          <w:szCs w:val="26"/>
          <w:lang w:eastAsia="it-IT"/>
        </w:rPr>
        <w:t>saldamente</w:t>
      </w:r>
      <w:r w:rsidRPr="00C01014">
        <w:rPr>
          <w:rFonts w:eastAsia="Times New Roman" w:cstheme="minorHAnsi"/>
          <w:sz w:val="26"/>
          <w:szCs w:val="26"/>
          <w:lang w:eastAsia="it-IT"/>
        </w:rPr>
        <w:t xml:space="preserve"> sistemi produttivi e persone</w:t>
      </w:r>
      <w:r w:rsidR="00F04542">
        <w:rPr>
          <w:rFonts w:eastAsia="Times New Roman" w:cstheme="minorHAnsi"/>
          <w:sz w:val="26"/>
          <w:szCs w:val="26"/>
          <w:lang w:eastAsia="it-IT"/>
        </w:rPr>
        <w:t>, favorendo al contempo nuove modalità di mobilità e trasporto locale</w:t>
      </w:r>
      <w:r w:rsidRPr="00C01014">
        <w:rPr>
          <w:rFonts w:eastAsia="Times New Roman" w:cstheme="minorHAnsi"/>
          <w:sz w:val="26"/>
          <w:szCs w:val="26"/>
          <w:lang w:eastAsia="it-IT"/>
        </w:rPr>
        <w:t xml:space="preserve">. </w:t>
      </w:r>
      <w:r w:rsidR="00F81AF2" w:rsidRPr="00C01014">
        <w:rPr>
          <w:rFonts w:eastAsia="Times New Roman" w:cstheme="minorHAnsi"/>
          <w:sz w:val="26"/>
          <w:szCs w:val="26"/>
          <w:lang w:eastAsia="it-IT"/>
        </w:rPr>
        <w:t xml:space="preserve"> </w:t>
      </w:r>
    </w:p>
    <w:p w14:paraId="58182B6A" w14:textId="77777777" w:rsidR="0003483E" w:rsidRPr="00C01014" w:rsidRDefault="0003483E" w:rsidP="0003483E">
      <w:pPr>
        <w:pStyle w:val="Paragrafoelenco"/>
        <w:numPr>
          <w:ilvl w:val="0"/>
          <w:numId w:val="3"/>
        </w:numPr>
        <w:jc w:val="both"/>
        <w:rPr>
          <w:rFonts w:eastAsia="Times New Roman" w:cstheme="minorHAnsi"/>
          <w:sz w:val="26"/>
          <w:szCs w:val="26"/>
          <w:lang w:eastAsia="it-IT"/>
        </w:rPr>
      </w:pPr>
      <w:r w:rsidRPr="00C01014">
        <w:rPr>
          <w:rFonts w:eastAsia="Times New Roman" w:cstheme="minorHAnsi"/>
          <w:sz w:val="26"/>
          <w:szCs w:val="26"/>
          <w:lang w:eastAsia="it-IT"/>
        </w:rPr>
        <w:t>Costruire centri di competenza sui territori, capaci di progettare le opere sia di livello locale che nazionale, in grado di dare slancio alla programmazione.</w:t>
      </w:r>
    </w:p>
    <w:p w14:paraId="1E7F44FE" w14:textId="0B403B89" w:rsidR="00AE23DA" w:rsidRPr="00C01014" w:rsidRDefault="00AE23DA" w:rsidP="00F81AF2">
      <w:pPr>
        <w:pStyle w:val="Paragrafoelenco"/>
        <w:numPr>
          <w:ilvl w:val="0"/>
          <w:numId w:val="3"/>
        </w:numPr>
        <w:jc w:val="both"/>
        <w:rPr>
          <w:rFonts w:eastAsia="Times New Roman" w:cstheme="minorHAnsi"/>
          <w:sz w:val="26"/>
          <w:szCs w:val="26"/>
          <w:lang w:eastAsia="it-IT"/>
        </w:rPr>
      </w:pPr>
      <w:r w:rsidRPr="00C01014">
        <w:rPr>
          <w:rFonts w:eastAsia="Times New Roman" w:cstheme="minorHAnsi"/>
          <w:sz w:val="26"/>
          <w:szCs w:val="26"/>
          <w:lang w:eastAsia="it-IT"/>
        </w:rPr>
        <w:t xml:space="preserve">Porre quali parole chiave della ripresa la promozione del digitale in un quadro di sviluppo sostenibile che consideri la cura del territorio </w:t>
      </w:r>
      <w:r w:rsidR="00406D63" w:rsidRPr="00C01014">
        <w:rPr>
          <w:rFonts w:eastAsia="Times New Roman" w:cstheme="minorHAnsi"/>
          <w:sz w:val="26"/>
          <w:szCs w:val="26"/>
          <w:lang w:eastAsia="it-IT"/>
        </w:rPr>
        <w:t xml:space="preserve">come una delle variabili imprescindibili da </w:t>
      </w:r>
      <w:r w:rsidRPr="00C01014">
        <w:rPr>
          <w:rFonts w:eastAsia="Times New Roman" w:cstheme="minorHAnsi"/>
          <w:sz w:val="26"/>
          <w:szCs w:val="26"/>
          <w:lang w:eastAsia="it-IT"/>
        </w:rPr>
        <w:t>cui orientare ogni scelta di investimento del Paese.</w:t>
      </w:r>
    </w:p>
    <w:p w14:paraId="27D526A1" w14:textId="345F42AA" w:rsidR="00590966" w:rsidRPr="00C01014" w:rsidRDefault="00705956" w:rsidP="00705956">
      <w:pPr>
        <w:jc w:val="both"/>
        <w:rPr>
          <w:rFonts w:eastAsia="Times New Roman" w:cstheme="minorHAnsi"/>
          <w:sz w:val="26"/>
          <w:szCs w:val="26"/>
          <w:lang w:eastAsia="it-IT"/>
        </w:rPr>
      </w:pPr>
      <w:r w:rsidRPr="00C01014">
        <w:rPr>
          <w:rFonts w:eastAsia="Times New Roman" w:cstheme="minorHAnsi"/>
          <w:sz w:val="26"/>
          <w:szCs w:val="26"/>
          <w:lang w:eastAsia="it-IT"/>
        </w:rPr>
        <w:t>Parte delle risorse che l’Unione Europea destinerà agli investimenti devono essere orientati a soddisfare queste priorità, all’interno di una strategia nazionale che accompagni questa scelta consentendo di poter disporre, insieme a</w:t>
      </w:r>
      <w:r w:rsidR="009472FD" w:rsidRPr="00C01014">
        <w:rPr>
          <w:rFonts w:eastAsia="Times New Roman" w:cstheme="minorHAnsi"/>
          <w:sz w:val="26"/>
          <w:szCs w:val="26"/>
          <w:lang w:eastAsia="it-IT"/>
        </w:rPr>
        <w:t>lle fonti di finanziamento</w:t>
      </w:r>
      <w:r w:rsidRPr="00C01014">
        <w:rPr>
          <w:rFonts w:eastAsia="Times New Roman" w:cstheme="minorHAnsi"/>
          <w:sz w:val="26"/>
          <w:szCs w:val="26"/>
          <w:lang w:eastAsia="it-IT"/>
        </w:rPr>
        <w:t>, delle professionalità necessarie a fa</w:t>
      </w:r>
      <w:r w:rsidR="009472FD" w:rsidRPr="00C01014">
        <w:rPr>
          <w:rFonts w:eastAsia="Times New Roman" w:cstheme="minorHAnsi"/>
          <w:sz w:val="26"/>
          <w:szCs w:val="26"/>
          <w:lang w:eastAsia="it-IT"/>
        </w:rPr>
        <w:t>r</w:t>
      </w:r>
      <w:r w:rsidRPr="00C01014">
        <w:rPr>
          <w:rFonts w:eastAsia="Times New Roman" w:cstheme="minorHAnsi"/>
          <w:sz w:val="26"/>
          <w:szCs w:val="26"/>
          <w:lang w:eastAsia="it-IT"/>
        </w:rPr>
        <w:t xml:space="preserve"> fronte a questi compiti, in </w:t>
      </w:r>
      <w:r w:rsidR="009472FD" w:rsidRPr="00C01014">
        <w:rPr>
          <w:rFonts w:eastAsia="Times New Roman" w:cstheme="minorHAnsi"/>
          <w:sz w:val="26"/>
          <w:szCs w:val="26"/>
          <w:lang w:eastAsia="it-IT"/>
        </w:rPr>
        <w:t>un quadro</w:t>
      </w:r>
      <w:r w:rsidRPr="00C01014">
        <w:rPr>
          <w:rFonts w:eastAsia="Times New Roman" w:cstheme="minorHAnsi"/>
          <w:sz w:val="26"/>
          <w:szCs w:val="26"/>
          <w:lang w:eastAsia="it-IT"/>
        </w:rPr>
        <w:t xml:space="preserve"> </w:t>
      </w:r>
      <w:r w:rsidR="009472FD" w:rsidRPr="00C01014">
        <w:rPr>
          <w:rFonts w:eastAsia="Times New Roman" w:cstheme="minorHAnsi"/>
          <w:sz w:val="26"/>
          <w:szCs w:val="26"/>
          <w:lang w:eastAsia="it-IT"/>
        </w:rPr>
        <w:t>di semplificazione</w:t>
      </w:r>
      <w:r w:rsidRPr="00C01014">
        <w:rPr>
          <w:rFonts w:eastAsia="Times New Roman" w:cstheme="minorHAnsi"/>
          <w:sz w:val="26"/>
          <w:szCs w:val="26"/>
          <w:lang w:eastAsia="it-IT"/>
        </w:rPr>
        <w:t xml:space="preserve"> delle procedure che assicuri la tempestività di realizzazione degli interventi.  </w:t>
      </w:r>
      <w:r w:rsidR="00AE23DA" w:rsidRPr="00C01014">
        <w:rPr>
          <w:rFonts w:eastAsia="Times New Roman" w:cstheme="minorHAnsi"/>
          <w:sz w:val="26"/>
          <w:szCs w:val="26"/>
          <w:lang w:eastAsia="it-IT"/>
        </w:rPr>
        <w:t>Le Province si candidano ad assumere a pieno titolo un ruolo da protagoniste in questo scenario</w:t>
      </w:r>
      <w:r w:rsidRPr="00C01014">
        <w:rPr>
          <w:rFonts w:eastAsia="Times New Roman" w:cstheme="minorHAnsi"/>
          <w:sz w:val="26"/>
          <w:szCs w:val="26"/>
          <w:lang w:eastAsia="it-IT"/>
        </w:rPr>
        <w:t>.</w:t>
      </w:r>
      <w:r w:rsidR="00AE23DA" w:rsidRPr="00C01014">
        <w:rPr>
          <w:rFonts w:eastAsia="Times New Roman" w:cstheme="minorHAnsi"/>
          <w:sz w:val="26"/>
          <w:szCs w:val="26"/>
          <w:lang w:eastAsia="it-IT"/>
        </w:rPr>
        <w:t xml:space="preserve"> </w:t>
      </w:r>
    </w:p>
    <w:p w14:paraId="486D6D67" w14:textId="57FDD2DB" w:rsidR="00705956" w:rsidRPr="00C01014" w:rsidRDefault="009472FD" w:rsidP="00BC4252">
      <w:pPr>
        <w:pStyle w:val="Paragrafoelenco"/>
        <w:jc w:val="center"/>
        <w:rPr>
          <w:rFonts w:eastAsia="Times New Roman" w:cstheme="minorHAnsi"/>
          <w:b/>
          <w:bCs/>
          <w:sz w:val="26"/>
          <w:szCs w:val="26"/>
          <w:lang w:eastAsia="it-IT"/>
        </w:rPr>
      </w:pPr>
      <w:r w:rsidRPr="00C01014">
        <w:rPr>
          <w:rFonts w:eastAsia="Times New Roman" w:cstheme="minorHAnsi"/>
          <w:b/>
          <w:bCs/>
          <w:sz w:val="26"/>
          <w:szCs w:val="26"/>
          <w:lang w:eastAsia="it-IT"/>
        </w:rPr>
        <w:lastRenderedPageBreak/>
        <w:t xml:space="preserve">Azione 1: Investimenti </w:t>
      </w:r>
    </w:p>
    <w:p w14:paraId="41117E8E" w14:textId="5C4094F5" w:rsidR="00F12EA5" w:rsidRPr="00C01014" w:rsidRDefault="00F12EA5" w:rsidP="00F12EA5">
      <w:pPr>
        <w:pStyle w:val="Paragrafoelenco"/>
        <w:jc w:val="both"/>
        <w:rPr>
          <w:rFonts w:eastAsia="Times New Roman" w:cstheme="minorHAnsi"/>
          <w:sz w:val="26"/>
          <w:szCs w:val="26"/>
          <w:lang w:eastAsia="it-IT"/>
        </w:rPr>
      </w:pPr>
    </w:p>
    <w:p w14:paraId="349F53B8" w14:textId="5BA2BCB6" w:rsidR="00006499" w:rsidRPr="00C01014" w:rsidRDefault="00006499" w:rsidP="00BC4252">
      <w:pPr>
        <w:pStyle w:val="Paragrafoelenco"/>
        <w:numPr>
          <w:ilvl w:val="0"/>
          <w:numId w:val="6"/>
        </w:numPr>
        <w:jc w:val="both"/>
        <w:rPr>
          <w:rFonts w:eastAsia="Times New Roman" w:cstheme="minorHAnsi"/>
          <w:b/>
          <w:bCs/>
          <w:sz w:val="26"/>
          <w:szCs w:val="26"/>
          <w:lang w:eastAsia="it-IT"/>
        </w:rPr>
      </w:pPr>
      <w:r w:rsidRPr="00C01014">
        <w:rPr>
          <w:rFonts w:eastAsia="Times New Roman" w:cstheme="minorHAnsi"/>
          <w:b/>
          <w:bCs/>
          <w:sz w:val="26"/>
          <w:szCs w:val="26"/>
          <w:lang w:eastAsia="it-IT"/>
        </w:rPr>
        <w:t>PROGETTARE IL FUTURO PARTENDO DALLE SCUOLE</w:t>
      </w:r>
    </w:p>
    <w:p w14:paraId="161A383E" w14:textId="77777777" w:rsidR="00BC4252" w:rsidRPr="00C01014" w:rsidRDefault="00BC4252" w:rsidP="00F12EA5">
      <w:pPr>
        <w:pStyle w:val="Paragrafoelenco"/>
        <w:jc w:val="both"/>
        <w:rPr>
          <w:rFonts w:cstheme="minorHAnsi"/>
          <w:b/>
          <w:bCs/>
          <w:sz w:val="26"/>
          <w:szCs w:val="26"/>
        </w:rPr>
      </w:pPr>
    </w:p>
    <w:p w14:paraId="0E5169AB" w14:textId="7C5CFB1B" w:rsidR="00F12EA5" w:rsidRPr="00C01014" w:rsidRDefault="00F12EA5" w:rsidP="00F12EA5">
      <w:pPr>
        <w:pStyle w:val="Paragrafoelenco"/>
        <w:jc w:val="both"/>
        <w:rPr>
          <w:rFonts w:cstheme="minorHAnsi"/>
          <w:b/>
          <w:bCs/>
          <w:sz w:val="26"/>
          <w:szCs w:val="26"/>
        </w:rPr>
      </w:pPr>
      <w:r w:rsidRPr="00C01014">
        <w:rPr>
          <w:rFonts w:cstheme="minorHAnsi"/>
          <w:sz w:val="26"/>
          <w:szCs w:val="26"/>
        </w:rPr>
        <w:t xml:space="preserve">Gli edifici scolastici che ospitano le scuole secondarie superiori italiane (licei, istituti tecnici, istituiti professionali </w:t>
      </w:r>
      <w:proofErr w:type="spellStart"/>
      <w:r w:rsidRPr="00C01014">
        <w:rPr>
          <w:rFonts w:cstheme="minorHAnsi"/>
          <w:sz w:val="26"/>
          <w:szCs w:val="26"/>
        </w:rPr>
        <w:t>etc</w:t>
      </w:r>
      <w:proofErr w:type="spellEnd"/>
      <w:r w:rsidRPr="00C01014">
        <w:rPr>
          <w:rFonts w:cstheme="minorHAnsi"/>
          <w:sz w:val="26"/>
          <w:szCs w:val="26"/>
        </w:rPr>
        <w:t xml:space="preserve">) sono in tutto </w:t>
      </w:r>
      <w:r w:rsidRPr="00C01014">
        <w:rPr>
          <w:rFonts w:cstheme="minorHAnsi"/>
          <w:b/>
          <w:bCs/>
          <w:sz w:val="26"/>
          <w:szCs w:val="26"/>
        </w:rPr>
        <w:t>7.455</w:t>
      </w:r>
      <w:r w:rsidRPr="00C01014">
        <w:rPr>
          <w:rFonts w:cstheme="minorHAnsi"/>
          <w:sz w:val="26"/>
          <w:szCs w:val="26"/>
        </w:rPr>
        <w:t xml:space="preserve">, accolgono </w:t>
      </w:r>
      <w:r w:rsidRPr="00C01014">
        <w:rPr>
          <w:rFonts w:cstheme="minorHAnsi"/>
          <w:b/>
          <w:bCs/>
          <w:sz w:val="26"/>
          <w:szCs w:val="26"/>
        </w:rPr>
        <w:t>2.635.582 studenti suddivisi in 121.171 aule.</w:t>
      </w:r>
    </w:p>
    <w:p w14:paraId="3312ACAF" w14:textId="061A942D" w:rsidR="008B7F7E" w:rsidRPr="00C01014" w:rsidRDefault="00F12EA5" w:rsidP="008B7F7E">
      <w:pPr>
        <w:ind w:left="708"/>
        <w:jc w:val="both"/>
        <w:rPr>
          <w:rFonts w:cstheme="minorHAnsi"/>
          <w:sz w:val="26"/>
          <w:szCs w:val="26"/>
        </w:rPr>
      </w:pPr>
      <w:r w:rsidRPr="00C01014">
        <w:rPr>
          <w:rFonts w:cstheme="minorHAnsi"/>
          <w:b/>
          <w:bCs/>
          <w:sz w:val="26"/>
          <w:szCs w:val="26"/>
        </w:rPr>
        <w:t xml:space="preserve">OLTRE IL 51% </w:t>
      </w:r>
      <w:r w:rsidRPr="00C01014">
        <w:rPr>
          <w:rFonts w:cstheme="minorHAnsi"/>
          <w:sz w:val="26"/>
          <w:szCs w:val="26"/>
        </w:rPr>
        <w:t>degli edifici ospitanti scuole secondarie di secondo grado</w:t>
      </w:r>
      <w:r w:rsidRPr="00C01014">
        <w:rPr>
          <w:rFonts w:cstheme="minorHAnsi"/>
          <w:b/>
          <w:bCs/>
          <w:sz w:val="26"/>
          <w:szCs w:val="26"/>
        </w:rPr>
        <w:t xml:space="preserve"> è stato costruito prima del 1976</w:t>
      </w:r>
      <w:r w:rsidR="008B7F7E" w:rsidRPr="00C01014">
        <w:rPr>
          <w:rFonts w:cstheme="minorHAnsi"/>
          <w:b/>
          <w:bCs/>
          <w:sz w:val="26"/>
          <w:szCs w:val="26"/>
        </w:rPr>
        <w:t xml:space="preserve"> e il 22,8% è sito in palazzi costruiti</w:t>
      </w:r>
      <w:r w:rsidR="008B7F7E" w:rsidRPr="00C01014">
        <w:rPr>
          <w:rFonts w:cstheme="minorHAnsi"/>
          <w:sz w:val="26"/>
          <w:szCs w:val="26"/>
        </w:rPr>
        <w:t xml:space="preserve"> per altri usi. </w:t>
      </w:r>
    </w:p>
    <w:p w14:paraId="59B261A8" w14:textId="77777777" w:rsidR="00F12EA5" w:rsidRPr="00C01014" w:rsidRDefault="00F12EA5" w:rsidP="00F12EA5">
      <w:pPr>
        <w:pStyle w:val="Paragrafoelenco"/>
        <w:jc w:val="both"/>
        <w:rPr>
          <w:rFonts w:cstheme="minorHAnsi"/>
          <w:sz w:val="26"/>
          <w:szCs w:val="26"/>
        </w:rPr>
      </w:pPr>
      <w:r w:rsidRPr="00C01014">
        <w:rPr>
          <w:rFonts w:cstheme="minorHAnsi"/>
          <w:sz w:val="26"/>
          <w:szCs w:val="26"/>
        </w:rPr>
        <w:t xml:space="preserve">Negli </w:t>
      </w:r>
      <w:r w:rsidRPr="00C01014">
        <w:rPr>
          <w:rFonts w:cstheme="minorHAnsi"/>
          <w:b/>
          <w:bCs/>
          <w:sz w:val="26"/>
          <w:szCs w:val="26"/>
        </w:rPr>
        <w:t>ultimi 20 anni</w:t>
      </w:r>
      <w:r w:rsidRPr="00C01014">
        <w:rPr>
          <w:rFonts w:cstheme="minorHAnsi"/>
          <w:sz w:val="26"/>
          <w:szCs w:val="26"/>
        </w:rPr>
        <w:t xml:space="preserve"> (dal 1998 ad oggi) </w:t>
      </w:r>
      <w:r w:rsidRPr="00C01014">
        <w:rPr>
          <w:rFonts w:cstheme="minorHAnsi"/>
          <w:b/>
          <w:bCs/>
          <w:sz w:val="26"/>
          <w:szCs w:val="26"/>
        </w:rPr>
        <w:t>sono stati costruiti</w:t>
      </w:r>
      <w:r w:rsidRPr="00C01014">
        <w:rPr>
          <w:rFonts w:cstheme="minorHAnsi"/>
          <w:sz w:val="26"/>
          <w:szCs w:val="26"/>
        </w:rPr>
        <w:t xml:space="preserve"> circa </w:t>
      </w:r>
      <w:r w:rsidRPr="00C01014">
        <w:rPr>
          <w:rFonts w:cstheme="minorHAnsi"/>
          <w:b/>
          <w:bCs/>
          <w:sz w:val="26"/>
          <w:szCs w:val="26"/>
        </w:rPr>
        <w:t>il 10% degli edifici</w:t>
      </w:r>
      <w:r w:rsidRPr="00C01014">
        <w:rPr>
          <w:rFonts w:cstheme="minorHAnsi"/>
          <w:sz w:val="26"/>
          <w:szCs w:val="26"/>
        </w:rPr>
        <w:t xml:space="preserve"> ospitanti scuole secondarie di II grado. </w:t>
      </w:r>
    </w:p>
    <w:p w14:paraId="4EB4AD47" w14:textId="44B32DF5" w:rsidR="003722B4" w:rsidRPr="00C01014" w:rsidRDefault="00F12EA5" w:rsidP="003722B4">
      <w:pPr>
        <w:ind w:left="708"/>
        <w:jc w:val="both"/>
        <w:rPr>
          <w:rFonts w:cstheme="minorHAnsi"/>
          <w:sz w:val="26"/>
          <w:szCs w:val="26"/>
        </w:rPr>
      </w:pPr>
      <w:r w:rsidRPr="00C01014">
        <w:rPr>
          <w:rFonts w:cstheme="minorHAnsi"/>
          <w:sz w:val="26"/>
          <w:szCs w:val="26"/>
        </w:rPr>
        <w:t xml:space="preserve">Il </w:t>
      </w:r>
      <w:r w:rsidRPr="00C01014">
        <w:rPr>
          <w:rFonts w:cstheme="minorHAnsi"/>
          <w:b/>
          <w:bCs/>
          <w:sz w:val="26"/>
          <w:szCs w:val="26"/>
        </w:rPr>
        <w:t>45% degli edifici</w:t>
      </w:r>
      <w:r w:rsidRPr="00C01014">
        <w:rPr>
          <w:rFonts w:cstheme="minorHAnsi"/>
          <w:sz w:val="26"/>
          <w:szCs w:val="26"/>
        </w:rPr>
        <w:t xml:space="preserve"> è in zone ad alto rischio sismico. </w:t>
      </w:r>
    </w:p>
    <w:p w14:paraId="51E00B15" w14:textId="21D22806" w:rsidR="00F12EA5" w:rsidRPr="00C01014" w:rsidRDefault="003722B4" w:rsidP="00F12EA5">
      <w:pPr>
        <w:pStyle w:val="Paragrafoelenco"/>
        <w:jc w:val="both"/>
        <w:rPr>
          <w:rFonts w:cstheme="minorHAnsi"/>
          <w:sz w:val="26"/>
          <w:szCs w:val="26"/>
        </w:rPr>
      </w:pPr>
      <w:r w:rsidRPr="00C01014">
        <w:rPr>
          <w:rFonts w:cstheme="minorHAnsi"/>
          <w:sz w:val="26"/>
          <w:szCs w:val="26"/>
        </w:rPr>
        <w:t xml:space="preserve">Secondo </w:t>
      </w:r>
      <w:r w:rsidR="00F12EA5" w:rsidRPr="00C01014">
        <w:rPr>
          <w:rFonts w:cstheme="minorHAnsi"/>
          <w:sz w:val="26"/>
          <w:szCs w:val="26"/>
        </w:rPr>
        <w:t>l’Agcom</w:t>
      </w:r>
      <w:r w:rsidRPr="00C01014">
        <w:rPr>
          <w:rFonts w:cstheme="minorHAnsi"/>
          <w:sz w:val="26"/>
          <w:szCs w:val="26"/>
        </w:rPr>
        <w:t>,</w:t>
      </w:r>
      <w:r w:rsidR="00F12EA5" w:rsidRPr="00C01014">
        <w:rPr>
          <w:rFonts w:cstheme="minorHAnsi"/>
          <w:sz w:val="26"/>
          <w:szCs w:val="26"/>
        </w:rPr>
        <w:t xml:space="preserve"> se</w:t>
      </w:r>
      <w:r w:rsidRPr="00C01014">
        <w:rPr>
          <w:rFonts w:cstheme="minorHAnsi"/>
          <w:sz w:val="26"/>
          <w:szCs w:val="26"/>
        </w:rPr>
        <w:t xml:space="preserve">bbene </w:t>
      </w:r>
      <w:r w:rsidR="00F12EA5" w:rsidRPr="00C01014">
        <w:rPr>
          <w:rFonts w:cstheme="minorHAnsi"/>
          <w:b/>
          <w:bCs/>
          <w:sz w:val="26"/>
          <w:szCs w:val="26"/>
        </w:rPr>
        <w:t>il 97% delle scuole dispone di una connessione</w:t>
      </w:r>
      <w:r w:rsidR="00F12EA5" w:rsidRPr="00C01014">
        <w:rPr>
          <w:rFonts w:cstheme="minorHAnsi"/>
          <w:sz w:val="26"/>
          <w:szCs w:val="26"/>
        </w:rPr>
        <w:t xml:space="preserve">, solo </w:t>
      </w:r>
      <w:r w:rsidR="00F12EA5" w:rsidRPr="00431F38">
        <w:rPr>
          <w:rFonts w:cstheme="minorHAnsi"/>
          <w:b/>
          <w:bCs/>
          <w:sz w:val="26"/>
          <w:szCs w:val="26"/>
        </w:rPr>
        <w:t>l’11,2%</w:t>
      </w:r>
      <w:r w:rsidR="00F12EA5" w:rsidRPr="00C01014">
        <w:rPr>
          <w:rFonts w:cstheme="minorHAnsi"/>
          <w:sz w:val="26"/>
          <w:szCs w:val="26"/>
        </w:rPr>
        <w:t xml:space="preserve"> </w:t>
      </w:r>
      <w:r w:rsidRPr="00C01014">
        <w:rPr>
          <w:rFonts w:cstheme="minorHAnsi"/>
          <w:sz w:val="26"/>
          <w:szCs w:val="26"/>
        </w:rPr>
        <w:t>è</w:t>
      </w:r>
      <w:r w:rsidR="00F12EA5" w:rsidRPr="00C01014">
        <w:rPr>
          <w:rFonts w:cstheme="minorHAnsi"/>
          <w:sz w:val="26"/>
          <w:szCs w:val="26"/>
        </w:rPr>
        <w:t xml:space="preserve"> connessa a una velocità superiore ai 30 Mbps.</w:t>
      </w:r>
    </w:p>
    <w:p w14:paraId="0CE07D86" w14:textId="652C9E99" w:rsidR="003722B4" w:rsidRPr="00C01014" w:rsidRDefault="003722B4" w:rsidP="00F12EA5">
      <w:pPr>
        <w:pStyle w:val="Paragrafoelenco"/>
        <w:jc w:val="both"/>
        <w:rPr>
          <w:rFonts w:cstheme="minorHAnsi"/>
          <w:sz w:val="26"/>
          <w:szCs w:val="26"/>
        </w:rPr>
      </w:pPr>
    </w:p>
    <w:p w14:paraId="00575849" w14:textId="3C4BE42B" w:rsidR="00F12EA5" w:rsidRPr="00C01014" w:rsidRDefault="003722B4" w:rsidP="003722B4">
      <w:pPr>
        <w:pStyle w:val="Paragrafoelenco"/>
        <w:jc w:val="both"/>
        <w:rPr>
          <w:rFonts w:cstheme="minorHAnsi"/>
          <w:sz w:val="26"/>
          <w:szCs w:val="26"/>
        </w:rPr>
      </w:pPr>
      <w:r w:rsidRPr="00C01014">
        <w:rPr>
          <w:rFonts w:cstheme="minorHAnsi"/>
          <w:sz w:val="26"/>
          <w:szCs w:val="26"/>
        </w:rPr>
        <w:t>Queste criticità sono emerse in tutta la drammaticità durante l’emergenza sanitaria</w:t>
      </w:r>
      <w:r w:rsidR="008B7F7E" w:rsidRPr="00C01014">
        <w:rPr>
          <w:rFonts w:cstheme="minorHAnsi"/>
          <w:sz w:val="26"/>
          <w:szCs w:val="26"/>
        </w:rPr>
        <w:t xml:space="preserve">, tanto che alla </w:t>
      </w:r>
      <w:r w:rsidRPr="00C01014">
        <w:rPr>
          <w:rFonts w:cstheme="minorHAnsi"/>
          <w:sz w:val="26"/>
          <w:szCs w:val="26"/>
        </w:rPr>
        <w:t>chiusura delle scuole</w:t>
      </w:r>
      <w:r w:rsidR="008B7F7E" w:rsidRPr="00C01014">
        <w:rPr>
          <w:rFonts w:cstheme="minorHAnsi"/>
          <w:sz w:val="26"/>
          <w:szCs w:val="26"/>
        </w:rPr>
        <w:t xml:space="preserve"> l’avvio della Didattica a Distanza </w:t>
      </w:r>
      <w:r w:rsidR="00006499" w:rsidRPr="00C01014">
        <w:rPr>
          <w:rFonts w:cstheme="minorHAnsi"/>
          <w:sz w:val="26"/>
          <w:szCs w:val="26"/>
        </w:rPr>
        <w:t>h</w:t>
      </w:r>
      <w:r w:rsidR="008B7F7E" w:rsidRPr="00C01014">
        <w:rPr>
          <w:rFonts w:cstheme="minorHAnsi"/>
          <w:sz w:val="26"/>
          <w:szCs w:val="26"/>
        </w:rPr>
        <w:t>a prodotto, di fatto, una pesante discriminazione tra chi è stato messo nelle possibilità di proseguire il percorso di studi e chi invece lo ha interrotto per mancanza di mezzi.</w:t>
      </w:r>
    </w:p>
    <w:p w14:paraId="059C269B" w14:textId="71773D6B" w:rsidR="008B7F7E" w:rsidRPr="00C01014" w:rsidRDefault="008B7F7E" w:rsidP="003722B4">
      <w:pPr>
        <w:pStyle w:val="Paragrafoelenco"/>
        <w:jc w:val="both"/>
        <w:rPr>
          <w:rFonts w:eastAsia="Times New Roman" w:cstheme="minorHAnsi"/>
          <w:sz w:val="26"/>
          <w:szCs w:val="26"/>
          <w:lang w:eastAsia="it-IT"/>
        </w:rPr>
      </w:pPr>
    </w:p>
    <w:p w14:paraId="067C1DFF" w14:textId="38A7EFDF" w:rsidR="008B7F7E" w:rsidRPr="00C01014" w:rsidRDefault="008B7F7E" w:rsidP="003722B4">
      <w:pPr>
        <w:pStyle w:val="Paragrafoelenco"/>
        <w:jc w:val="both"/>
        <w:rPr>
          <w:rFonts w:eastAsia="Times New Roman" w:cstheme="minorHAnsi"/>
          <w:sz w:val="26"/>
          <w:szCs w:val="26"/>
          <w:lang w:eastAsia="it-IT"/>
        </w:rPr>
      </w:pPr>
      <w:r w:rsidRPr="00C01014">
        <w:rPr>
          <w:rFonts w:eastAsia="Times New Roman" w:cstheme="minorHAnsi"/>
          <w:b/>
          <w:bCs/>
          <w:sz w:val="26"/>
          <w:szCs w:val="26"/>
          <w:u w:val="single"/>
          <w:lang w:eastAsia="it-IT"/>
        </w:rPr>
        <w:t>Progettare le nuove scuole deve essere considerata la priorità del Paese</w:t>
      </w:r>
      <w:r w:rsidRPr="00C01014">
        <w:rPr>
          <w:rFonts w:eastAsia="Times New Roman" w:cstheme="minorHAnsi"/>
          <w:sz w:val="26"/>
          <w:szCs w:val="26"/>
          <w:lang w:eastAsia="it-IT"/>
        </w:rPr>
        <w:t>: occorre utilizzare una parte consistente dei fondi UE destinati agli investimenti, per una grande opera di</w:t>
      </w:r>
      <w:r w:rsidR="00006499" w:rsidRPr="00C01014">
        <w:rPr>
          <w:rFonts w:eastAsia="Times New Roman" w:cstheme="minorHAnsi"/>
          <w:sz w:val="26"/>
          <w:szCs w:val="26"/>
          <w:lang w:eastAsia="it-IT"/>
        </w:rPr>
        <w:t xml:space="preserve"> </w:t>
      </w:r>
      <w:r w:rsidRPr="00C01014">
        <w:rPr>
          <w:rFonts w:eastAsia="Times New Roman" w:cstheme="minorHAnsi"/>
          <w:sz w:val="26"/>
          <w:szCs w:val="26"/>
          <w:lang w:eastAsia="it-IT"/>
        </w:rPr>
        <w:t>ricostruzione, messa in sicurezza, modernizzazione, delle scuole italiane.</w:t>
      </w:r>
    </w:p>
    <w:p w14:paraId="1DFADF0E" w14:textId="77777777" w:rsidR="00006499" w:rsidRPr="00C01014" w:rsidRDefault="00006499" w:rsidP="00006499">
      <w:pPr>
        <w:pStyle w:val="Paragrafoelenco"/>
        <w:jc w:val="both"/>
        <w:rPr>
          <w:rFonts w:eastAsia="Times New Roman" w:cstheme="minorHAnsi"/>
          <w:sz w:val="26"/>
          <w:szCs w:val="26"/>
          <w:lang w:eastAsia="it-IT"/>
        </w:rPr>
      </w:pPr>
    </w:p>
    <w:p w14:paraId="6C8FED89" w14:textId="66698530" w:rsidR="00006499" w:rsidRPr="00C01014" w:rsidRDefault="008B7F7E" w:rsidP="00006499">
      <w:pPr>
        <w:pStyle w:val="Paragrafoelenco"/>
        <w:jc w:val="both"/>
        <w:rPr>
          <w:rFonts w:eastAsia="Times New Roman" w:cstheme="minorHAnsi"/>
          <w:sz w:val="26"/>
          <w:szCs w:val="26"/>
          <w:u w:val="single"/>
          <w:lang w:eastAsia="it-IT"/>
        </w:rPr>
      </w:pPr>
      <w:r w:rsidRPr="00C01014">
        <w:rPr>
          <w:rFonts w:eastAsia="Times New Roman" w:cstheme="minorHAnsi"/>
          <w:sz w:val="26"/>
          <w:szCs w:val="26"/>
          <w:lang w:eastAsia="it-IT"/>
        </w:rPr>
        <w:t xml:space="preserve">Per quanto riguarda le scuole superiori, le Province sono pronte ad intervenire con </w:t>
      </w:r>
      <w:r w:rsidR="00006499" w:rsidRPr="00C01014">
        <w:rPr>
          <w:rFonts w:eastAsia="Times New Roman" w:cstheme="minorHAnsi"/>
          <w:sz w:val="26"/>
          <w:szCs w:val="26"/>
          <w:lang w:eastAsia="it-IT"/>
        </w:rPr>
        <w:t xml:space="preserve">più di </w:t>
      </w:r>
      <w:r w:rsidR="00006499" w:rsidRPr="00C01014">
        <w:rPr>
          <w:rFonts w:eastAsia="Times New Roman" w:cstheme="minorHAnsi"/>
          <w:b/>
          <w:bCs/>
          <w:sz w:val="26"/>
          <w:szCs w:val="26"/>
          <w:u w:val="single"/>
          <w:lang w:eastAsia="it-IT"/>
        </w:rPr>
        <w:t>1.700 progetti già disponibili</w:t>
      </w:r>
      <w:r w:rsidR="00006499" w:rsidRPr="00C01014">
        <w:rPr>
          <w:rFonts w:eastAsia="Times New Roman" w:cstheme="minorHAnsi"/>
          <w:sz w:val="26"/>
          <w:szCs w:val="26"/>
          <w:lang w:eastAsia="it-IT"/>
        </w:rPr>
        <w:t xml:space="preserve">, </w:t>
      </w:r>
      <w:r w:rsidR="00006499" w:rsidRPr="00C01014">
        <w:rPr>
          <w:rFonts w:eastAsia="Times New Roman" w:cstheme="minorHAnsi"/>
          <w:sz w:val="26"/>
          <w:szCs w:val="26"/>
          <w:u w:val="single"/>
          <w:lang w:eastAsia="it-IT"/>
        </w:rPr>
        <w:t>opere cantierabili per il 2021 e 2022, per un fabbisogno di 2 miliardi e 100 milioni.</w:t>
      </w:r>
    </w:p>
    <w:p w14:paraId="6D2F39BA" w14:textId="1CB53415" w:rsidR="00006499" w:rsidRPr="00C01014" w:rsidRDefault="00006499" w:rsidP="00006499">
      <w:pPr>
        <w:pStyle w:val="Paragrafoelenco"/>
        <w:jc w:val="both"/>
        <w:rPr>
          <w:rFonts w:eastAsia="Times New Roman" w:cstheme="minorHAnsi"/>
          <w:sz w:val="26"/>
          <w:szCs w:val="26"/>
          <w:u w:val="single"/>
          <w:lang w:eastAsia="it-IT"/>
        </w:rPr>
      </w:pPr>
    </w:p>
    <w:p w14:paraId="6E9BCBA3" w14:textId="77777777" w:rsidR="00BD34C7" w:rsidRPr="00C01014" w:rsidRDefault="00BD34C7" w:rsidP="00006499">
      <w:pPr>
        <w:pStyle w:val="Paragrafoelenco"/>
        <w:jc w:val="both"/>
        <w:rPr>
          <w:rFonts w:eastAsia="Times New Roman" w:cstheme="minorHAnsi"/>
          <w:sz w:val="26"/>
          <w:szCs w:val="26"/>
          <w:u w:val="single"/>
          <w:lang w:eastAsia="it-IT"/>
        </w:rPr>
      </w:pPr>
    </w:p>
    <w:p w14:paraId="33830DBC" w14:textId="412A1E76" w:rsidR="00006499" w:rsidRPr="00C01014" w:rsidRDefault="00006499" w:rsidP="00BC4252">
      <w:pPr>
        <w:pStyle w:val="Paragrafoelenco"/>
        <w:numPr>
          <w:ilvl w:val="0"/>
          <w:numId w:val="6"/>
        </w:numPr>
        <w:jc w:val="both"/>
        <w:rPr>
          <w:rFonts w:eastAsia="Times New Roman" w:cstheme="minorHAnsi"/>
          <w:b/>
          <w:bCs/>
          <w:sz w:val="26"/>
          <w:szCs w:val="26"/>
          <w:lang w:eastAsia="it-IT"/>
        </w:rPr>
      </w:pPr>
      <w:r w:rsidRPr="00C01014">
        <w:rPr>
          <w:rFonts w:eastAsia="Times New Roman" w:cstheme="minorHAnsi"/>
          <w:b/>
          <w:bCs/>
          <w:sz w:val="26"/>
          <w:szCs w:val="26"/>
          <w:lang w:eastAsia="it-IT"/>
        </w:rPr>
        <w:t>PROGETTARE IL FUTURO: COSTRUIRE PONTI, COLLEGARE IL PAESE</w:t>
      </w:r>
    </w:p>
    <w:p w14:paraId="6CDCD230" w14:textId="77777777" w:rsidR="00566D0E" w:rsidRPr="00C01014" w:rsidRDefault="00566D0E" w:rsidP="00431F38">
      <w:pPr>
        <w:ind w:left="708"/>
        <w:jc w:val="both"/>
        <w:rPr>
          <w:rFonts w:cstheme="minorHAnsi"/>
          <w:b/>
          <w:bCs/>
          <w:sz w:val="26"/>
          <w:szCs w:val="26"/>
        </w:rPr>
      </w:pPr>
      <w:r w:rsidRPr="00C01014">
        <w:rPr>
          <w:rFonts w:cstheme="minorHAnsi"/>
          <w:sz w:val="26"/>
          <w:szCs w:val="26"/>
        </w:rPr>
        <w:t xml:space="preserve">La rete viaria provinciale in gestione alle Province e alle Città metropolitane ammonta a 121 mila 911 chilometri, di </w:t>
      </w:r>
      <w:proofErr w:type="gramStart"/>
      <w:r w:rsidRPr="00C01014">
        <w:rPr>
          <w:rFonts w:cstheme="minorHAnsi"/>
          <w:sz w:val="26"/>
          <w:szCs w:val="26"/>
        </w:rPr>
        <w:t>cui  34</w:t>
      </w:r>
      <w:proofErr w:type="gramEnd"/>
      <w:r w:rsidRPr="00C01014">
        <w:rPr>
          <w:rFonts w:cstheme="minorHAnsi"/>
          <w:sz w:val="26"/>
          <w:szCs w:val="26"/>
        </w:rPr>
        <w:t xml:space="preserve"> mila 763 chilometri in superficie montana. </w:t>
      </w:r>
    </w:p>
    <w:p w14:paraId="6E78677B" w14:textId="1CAB32EA" w:rsidR="00566D0E" w:rsidRPr="00C01014" w:rsidRDefault="00566D0E" w:rsidP="00431F38">
      <w:pPr>
        <w:ind w:firstLine="708"/>
        <w:jc w:val="both"/>
        <w:rPr>
          <w:rFonts w:cstheme="minorHAnsi"/>
          <w:sz w:val="26"/>
          <w:szCs w:val="26"/>
        </w:rPr>
      </w:pPr>
      <w:r w:rsidRPr="00C01014">
        <w:rPr>
          <w:rFonts w:cstheme="minorHAnsi"/>
          <w:b/>
          <w:bCs/>
          <w:sz w:val="26"/>
          <w:szCs w:val="26"/>
        </w:rPr>
        <w:t xml:space="preserve">Su questa rete viaria insistono circa 30.000 tra ponti, viadotti e gallerie. </w:t>
      </w:r>
    </w:p>
    <w:p w14:paraId="5051CAC5" w14:textId="571372E3" w:rsidR="00566D0E" w:rsidRPr="00C01014" w:rsidRDefault="00BC4252" w:rsidP="00431F38">
      <w:pPr>
        <w:ind w:left="705"/>
        <w:jc w:val="both"/>
        <w:rPr>
          <w:rFonts w:eastAsia="Times New Roman" w:cstheme="minorHAnsi"/>
          <w:sz w:val="26"/>
          <w:szCs w:val="26"/>
          <w:lang w:eastAsia="it-IT"/>
        </w:rPr>
      </w:pPr>
      <w:r w:rsidRPr="00C01014">
        <w:rPr>
          <w:rFonts w:eastAsia="Times New Roman" w:cstheme="minorHAnsi"/>
          <w:sz w:val="26"/>
          <w:szCs w:val="26"/>
          <w:lang w:eastAsia="it-IT"/>
        </w:rPr>
        <w:t>La caratteristica principale di questa rete è</w:t>
      </w:r>
      <w:r w:rsidR="00C01014" w:rsidRPr="00C01014">
        <w:rPr>
          <w:rFonts w:eastAsia="Times New Roman" w:cstheme="minorHAnsi"/>
          <w:sz w:val="26"/>
          <w:szCs w:val="26"/>
          <w:lang w:eastAsia="it-IT"/>
        </w:rPr>
        <w:t xml:space="preserve"> </w:t>
      </w:r>
      <w:r w:rsidR="00431F38">
        <w:rPr>
          <w:rFonts w:eastAsia="Times New Roman" w:cstheme="minorHAnsi"/>
          <w:sz w:val="26"/>
          <w:szCs w:val="26"/>
          <w:lang w:eastAsia="it-IT"/>
        </w:rPr>
        <w:t xml:space="preserve">che </w:t>
      </w:r>
      <w:r w:rsidR="00C01014" w:rsidRPr="00C01014">
        <w:rPr>
          <w:rFonts w:eastAsia="Times New Roman" w:cstheme="minorHAnsi"/>
          <w:sz w:val="26"/>
          <w:szCs w:val="26"/>
          <w:lang w:eastAsia="it-IT"/>
        </w:rPr>
        <w:t xml:space="preserve">questa </w:t>
      </w:r>
      <w:r w:rsidRPr="00C01014">
        <w:rPr>
          <w:rFonts w:eastAsia="Times New Roman" w:cstheme="minorHAnsi"/>
          <w:sz w:val="26"/>
          <w:szCs w:val="26"/>
          <w:lang w:eastAsia="it-IT"/>
        </w:rPr>
        <w:t>rappresenta in molti casi l’unico collegamento tra le aree interne e i centri economici.</w:t>
      </w:r>
    </w:p>
    <w:p w14:paraId="09052369" w14:textId="4D39CAB2" w:rsidR="00BC4252" w:rsidRPr="00C01014" w:rsidRDefault="00BC4252" w:rsidP="00BC4252">
      <w:pPr>
        <w:ind w:left="705"/>
        <w:jc w:val="both"/>
        <w:rPr>
          <w:rFonts w:eastAsia="Times New Roman" w:cstheme="minorHAnsi"/>
          <w:b/>
          <w:bCs/>
          <w:sz w:val="26"/>
          <w:szCs w:val="26"/>
          <w:lang w:eastAsia="it-IT"/>
        </w:rPr>
      </w:pPr>
      <w:r w:rsidRPr="00C01014">
        <w:rPr>
          <w:rFonts w:cstheme="minorHAnsi"/>
          <w:sz w:val="26"/>
          <w:szCs w:val="26"/>
        </w:rPr>
        <w:lastRenderedPageBreak/>
        <w:t xml:space="preserve">L’UPI, attraverso la rilevazione con le Province, ha </w:t>
      </w:r>
      <w:r w:rsidR="00CD2111" w:rsidRPr="00C01014">
        <w:rPr>
          <w:rFonts w:cstheme="minorHAnsi"/>
          <w:sz w:val="26"/>
          <w:szCs w:val="26"/>
        </w:rPr>
        <w:t>predisposto</w:t>
      </w:r>
      <w:r w:rsidRPr="00C01014">
        <w:rPr>
          <w:rFonts w:cstheme="minorHAnsi"/>
          <w:sz w:val="26"/>
          <w:szCs w:val="26"/>
        </w:rPr>
        <w:t xml:space="preserve"> </w:t>
      </w:r>
      <w:r w:rsidRPr="00C01014">
        <w:rPr>
          <w:rFonts w:cstheme="minorHAnsi"/>
          <w:b/>
          <w:bCs/>
          <w:sz w:val="26"/>
          <w:szCs w:val="26"/>
          <w:u w:val="single"/>
        </w:rPr>
        <w:t xml:space="preserve">un Piano nazionale dei fabbisogni </w:t>
      </w:r>
      <w:proofErr w:type="gramStart"/>
      <w:r w:rsidRPr="00C01014">
        <w:rPr>
          <w:rFonts w:cstheme="minorHAnsi"/>
          <w:b/>
          <w:bCs/>
          <w:sz w:val="26"/>
          <w:szCs w:val="26"/>
          <w:u w:val="single"/>
        </w:rPr>
        <w:t>delle rete</w:t>
      </w:r>
      <w:proofErr w:type="gramEnd"/>
      <w:r w:rsidRPr="00C01014">
        <w:rPr>
          <w:rFonts w:cstheme="minorHAnsi"/>
          <w:b/>
          <w:bCs/>
          <w:sz w:val="26"/>
          <w:szCs w:val="26"/>
          <w:u w:val="single"/>
        </w:rPr>
        <w:t xml:space="preserve"> viaria provinciale italiane per il 2020 – 2021 – 2022,</w:t>
      </w:r>
      <w:r w:rsidRPr="00C01014">
        <w:rPr>
          <w:rFonts w:cstheme="minorHAnsi"/>
          <w:sz w:val="26"/>
          <w:szCs w:val="26"/>
        </w:rPr>
        <w:t xml:space="preserve"> che nel totale </w:t>
      </w:r>
      <w:r w:rsidRPr="00C01014">
        <w:rPr>
          <w:rFonts w:eastAsia="Times New Roman" w:cstheme="minorHAnsi"/>
          <w:sz w:val="26"/>
          <w:szCs w:val="26"/>
          <w:lang w:eastAsia="it-IT"/>
        </w:rPr>
        <w:t xml:space="preserve">consta di </w:t>
      </w:r>
      <w:r w:rsidRPr="00C01014">
        <w:rPr>
          <w:rFonts w:eastAsia="Times New Roman" w:cstheme="minorHAnsi"/>
          <w:b/>
          <w:bCs/>
          <w:sz w:val="26"/>
          <w:szCs w:val="26"/>
          <w:lang w:eastAsia="it-IT"/>
        </w:rPr>
        <w:t>1.503 progetti per un fabbisogno totale di 1 miliardo 910 milioni</w:t>
      </w:r>
      <w:r w:rsidR="00C01014" w:rsidRPr="00C01014">
        <w:rPr>
          <w:rFonts w:eastAsia="Times New Roman" w:cstheme="minorHAnsi"/>
          <w:b/>
          <w:bCs/>
          <w:sz w:val="26"/>
          <w:szCs w:val="26"/>
          <w:lang w:eastAsia="it-IT"/>
        </w:rPr>
        <w:t>.</w:t>
      </w:r>
    </w:p>
    <w:p w14:paraId="5B3193E5" w14:textId="66422388" w:rsidR="00C01014" w:rsidRPr="00C01014" w:rsidRDefault="00C01014" w:rsidP="00C01014">
      <w:pPr>
        <w:ind w:left="705"/>
        <w:jc w:val="both"/>
        <w:rPr>
          <w:rFonts w:eastAsia="Times New Roman" w:cstheme="minorHAnsi"/>
          <w:sz w:val="26"/>
          <w:szCs w:val="26"/>
          <w:lang w:eastAsia="it-IT"/>
        </w:rPr>
      </w:pPr>
      <w:r w:rsidRPr="00C01014">
        <w:rPr>
          <w:rFonts w:eastAsia="Times New Roman" w:cstheme="minorHAnsi"/>
          <w:sz w:val="26"/>
          <w:szCs w:val="26"/>
          <w:lang w:eastAsia="it-IT"/>
        </w:rPr>
        <w:t>Occorre sottolineare che il comparto dell’edilizia e delle opere pubbliche, ha risentito pesantemente dello stop imposto dal COVID19: la contrazione degli investimenti, nel settore edilizio delle opere pubbliche, risulterebbe del 3,8% nel primo bimestre marzo-aprile, per salire nel bimestre successivo a -16,5%.</w:t>
      </w:r>
    </w:p>
    <w:p w14:paraId="3D21F7F0" w14:textId="77777777" w:rsidR="00C01014" w:rsidRPr="00C01014" w:rsidRDefault="00C01014" w:rsidP="00BC4252">
      <w:pPr>
        <w:ind w:left="705"/>
        <w:jc w:val="both"/>
        <w:rPr>
          <w:rFonts w:eastAsia="Times New Roman" w:cstheme="minorHAnsi"/>
          <w:sz w:val="26"/>
          <w:szCs w:val="26"/>
          <w:lang w:eastAsia="it-IT"/>
        </w:rPr>
      </w:pPr>
    </w:p>
    <w:p w14:paraId="552DBDEE" w14:textId="270277C4" w:rsidR="00BC4252" w:rsidRPr="00C01014" w:rsidRDefault="00BD34C7" w:rsidP="00BC4252">
      <w:pPr>
        <w:ind w:left="705"/>
        <w:jc w:val="both"/>
        <w:rPr>
          <w:rFonts w:eastAsia="Times New Roman" w:cstheme="minorHAnsi"/>
          <w:b/>
          <w:bCs/>
          <w:sz w:val="26"/>
          <w:szCs w:val="26"/>
          <w:u w:val="single"/>
          <w:lang w:eastAsia="it-IT"/>
        </w:rPr>
      </w:pPr>
      <w:r w:rsidRPr="00C01014">
        <w:rPr>
          <w:rFonts w:eastAsia="Times New Roman" w:cstheme="minorHAnsi"/>
          <w:b/>
          <w:bCs/>
          <w:sz w:val="26"/>
          <w:szCs w:val="26"/>
          <w:u w:val="single"/>
          <w:lang w:eastAsia="it-IT"/>
        </w:rPr>
        <w:t xml:space="preserve">LA RICHIESTA </w:t>
      </w:r>
      <w:r w:rsidR="00C01014" w:rsidRPr="00C01014">
        <w:rPr>
          <w:rFonts w:eastAsia="Times New Roman" w:cstheme="minorHAnsi"/>
          <w:b/>
          <w:bCs/>
          <w:sz w:val="26"/>
          <w:szCs w:val="26"/>
          <w:u w:val="single"/>
          <w:lang w:eastAsia="it-IT"/>
        </w:rPr>
        <w:t>DELL’UNIONE DELLE PROVINCE D’</w:t>
      </w:r>
      <w:r w:rsidRPr="00C01014">
        <w:rPr>
          <w:rFonts w:eastAsia="Times New Roman" w:cstheme="minorHAnsi"/>
          <w:b/>
          <w:bCs/>
          <w:sz w:val="26"/>
          <w:szCs w:val="26"/>
          <w:u w:val="single"/>
          <w:lang w:eastAsia="it-IT"/>
        </w:rPr>
        <w:t>I</w:t>
      </w:r>
      <w:r w:rsidR="00C01014" w:rsidRPr="00C01014">
        <w:rPr>
          <w:rFonts w:eastAsia="Times New Roman" w:cstheme="minorHAnsi"/>
          <w:b/>
          <w:bCs/>
          <w:sz w:val="26"/>
          <w:szCs w:val="26"/>
          <w:u w:val="single"/>
          <w:lang w:eastAsia="it-IT"/>
        </w:rPr>
        <w:t>TALIA</w:t>
      </w:r>
    </w:p>
    <w:p w14:paraId="172F4DE3" w14:textId="202B4083" w:rsidR="00C01014" w:rsidRPr="00C01014" w:rsidRDefault="00C01014" w:rsidP="00C01014">
      <w:pPr>
        <w:ind w:left="705"/>
        <w:jc w:val="both"/>
        <w:rPr>
          <w:rFonts w:eastAsia="Times New Roman" w:cstheme="minorHAnsi"/>
          <w:sz w:val="26"/>
          <w:szCs w:val="26"/>
          <w:lang w:eastAsia="it-IT"/>
        </w:rPr>
      </w:pPr>
      <w:r w:rsidRPr="00431F38">
        <w:rPr>
          <w:rFonts w:eastAsia="Times New Roman" w:cstheme="minorHAnsi"/>
          <w:b/>
          <w:bCs/>
          <w:sz w:val="26"/>
          <w:szCs w:val="26"/>
          <w:u w:val="single"/>
          <w:lang w:eastAsia="it-IT"/>
        </w:rPr>
        <w:t>Assegnare a Province e Città metropolitane almeno 4 miliardi per un piano degli investimenti 2020-2022 su edifici scolastici e infrastrutture viarie provinciali,</w:t>
      </w:r>
      <w:r w:rsidRPr="00C01014">
        <w:rPr>
          <w:rFonts w:eastAsia="Times New Roman" w:cstheme="minorHAnsi"/>
          <w:sz w:val="26"/>
          <w:szCs w:val="26"/>
          <w:lang w:eastAsia="it-IT"/>
        </w:rPr>
        <w:t xml:space="preserve"> direttamente agli enti locali così da consentire il pieno utilizzo immediato delle risorse. </w:t>
      </w:r>
    </w:p>
    <w:p w14:paraId="46183BE1" w14:textId="7283278D" w:rsidR="00C01014" w:rsidRPr="00C01014" w:rsidRDefault="00431F38" w:rsidP="00C01014">
      <w:pPr>
        <w:ind w:left="705"/>
        <w:jc w:val="both"/>
        <w:rPr>
          <w:rFonts w:eastAsia="Times New Roman" w:cstheme="minorHAnsi"/>
          <w:sz w:val="26"/>
          <w:szCs w:val="26"/>
          <w:lang w:eastAsia="it-IT"/>
        </w:rPr>
      </w:pPr>
      <w:r>
        <w:rPr>
          <w:rFonts w:eastAsia="Times New Roman" w:cstheme="minorHAnsi"/>
          <w:sz w:val="26"/>
          <w:szCs w:val="26"/>
          <w:lang w:eastAsia="it-IT"/>
        </w:rPr>
        <w:t xml:space="preserve">In questo modo, </w:t>
      </w:r>
      <w:proofErr w:type="gramStart"/>
      <w:r>
        <w:rPr>
          <w:rFonts w:eastAsia="Times New Roman" w:cstheme="minorHAnsi"/>
          <w:sz w:val="26"/>
          <w:szCs w:val="26"/>
          <w:lang w:eastAsia="it-IT"/>
        </w:rPr>
        <w:t>l</w:t>
      </w:r>
      <w:r w:rsidR="00C01014" w:rsidRPr="00C01014">
        <w:rPr>
          <w:rFonts w:eastAsia="Times New Roman" w:cstheme="minorHAnsi"/>
          <w:sz w:val="26"/>
          <w:szCs w:val="26"/>
          <w:lang w:eastAsia="it-IT"/>
        </w:rPr>
        <w:t>’Italia  fornisce</w:t>
      </w:r>
      <w:proofErr w:type="gramEnd"/>
      <w:r w:rsidR="00C01014" w:rsidRPr="00C01014">
        <w:rPr>
          <w:rFonts w:eastAsia="Times New Roman" w:cstheme="minorHAnsi"/>
          <w:sz w:val="26"/>
          <w:szCs w:val="26"/>
          <w:lang w:eastAsia="it-IT"/>
        </w:rPr>
        <w:t xml:space="preserve"> all’UE un primo pacchetto di investimenti in opere immediatamente cantierabili e realizzabili entro il 2022, così come richiesto dal Recovery Fund, con l’apertura di oltre 3.000 cantieri. </w:t>
      </w:r>
    </w:p>
    <w:p w14:paraId="2ABDF245" w14:textId="77777777" w:rsidR="00C01014" w:rsidRPr="00C01014" w:rsidRDefault="00C01014" w:rsidP="00C01014">
      <w:pPr>
        <w:ind w:left="705"/>
        <w:jc w:val="both"/>
        <w:rPr>
          <w:rFonts w:eastAsia="Times New Roman" w:cstheme="minorHAnsi"/>
          <w:sz w:val="26"/>
          <w:szCs w:val="26"/>
          <w:lang w:eastAsia="it-IT"/>
        </w:rPr>
      </w:pPr>
      <w:r w:rsidRPr="00C01014">
        <w:rPr>
          <w:rFonts w:eastAsia="Times New Roman" w:cstheme="minorHAnsi"/>
          <w:sz w:val="26"/>
          <w:szCs w:val="26"/>
          <w:lang w:eastAsia="it-IT"/>
        </w:rPr>
        <w:t>I cantieri per la modernizzazione, messa in sicurezza e digitalizzazione di strade e scuole, inoltre, rispondo a pieno agli obiettivi indicati.</w:t>
      </w:r>
    </w:p>
    <w:p w14:paraId="2FA0FD2D" w14:textId="5898CC1E" w:rsidR="00F04542" w:rsidRDefault="00F04542">
      <w:pPr>
        <w:rPr>
          <w:rFonts w:eastAsia="Times New Roman" w:cstheme="minorHAnsi"/>
          <w:b/>
          <w:bCs/>
          <w:sz w:val="26"/>
          <w:szCs w:val="26"/>
          <w:lang w:eastAsia="it-IT"/>
        </w:rPr>
      </w:pPr>
      <w:r>
        <w:rPr>
          <w:rFonts w:eastAsia="Times New Roman" w:cstheme="minorHAnsi"/>
          <w:b/>
          <w:bCs/>
          <w:sz w:val="26"/>
          <w:szCs w:val="26"/>
          <w:lang w:eastAsia="it-IT"/>
        </w:rPr>
        <w:br w:type="page"/>
      </w:r>
    </w:p>
    <w:p w14:paraId="78DB7C14" w14:textId="77777777" w:rsidR="00F04542" w:rsidRDefault="00F04542" w:rsidP="00F04542">
      <w:pPr>
        <w:jc w:val="center"/>
        <w:rPr>
          <w:rFonts w:eastAsia="Times New Roman" w:cstheme="minorHAnsi"/>
          <w:b/>
          <w:bCs/>
          <w:sz w:val="26"/>
          <w:szCs w:val="26"/>
          <w:lang w:eastAsia="it-IT"/>
        </w:rPr>
      </w:pPr>
    </w:p>
    <w:p w14:paraId="583A34DC" w14:textId="04AE5935" w:rsidR="00BD34C7" w:rsidRDefault="00F04542" w:rsidP="00F04542">
      <w:pPr>
        <w:jc w:val="center"/>
        <w:rPr>
          <w:rFonts w:eastAsia="Times New Roman" w:cstheme="minorHAnsi"/>
          <w:b/>
          <w:bCs/>
          <w:sz w:val="26"/>
          <w:szCs w:val="26"/>
          <w:lang w:eastAsia="it-IT"/>
        </w:rPr>
      </w:pPr>
      <w:r w:rsidRPr="00F04542">
        <w:rPr>
          <w:rFonts w:eastAsia="Times New Roman" w:cstheme="minorHAnsi"/>
          <w:b/>
          <w:bCs/>
          <w:sz w:val="26"/>
          <w:szCs w:val="26"/>
          <w:lang w:eastAsia="it-IT"/>
        </w:rPr>
        <w:t>Azione 2. I centri di competenza e la semplificazione</w:t>
      </w:r>
    </w:p>
    <w:p w14:paraId="290CE0F1" w14:textId="4F291A29" w:rsidR="00BD34C7" w:rsidRPr="00F04542" w:rsidRDefault="00BD34C7" w:rsidP="00F04542">
      <w:pPr>
        <w:pStyle w:val="Paragrafoelenco"/>
        <w:numPr>
          <w:ilvl w:val="0"/>
          <w:numId w:val="10"/>
        </w:numPr>
        <w:jc w:val="both"/>
        <w:rPr>
          <w:rFonts w:eastAsia="Times New Roman" w:cstheme="minorHAnsi"/>
          <w:b/>
          <w:bCs/>
          <w:sz w:val="26"/>
          <w:szCs w:val="26"/>
          <w:lang w:eastAsia="it-IT"/>
        </w:rPr>
      </w:pPr>
      <w:r w:rsidRPr="00F04542">
        <w:rPr>
          <w:rFonts w:eastAsia="Times New Roman" w:cstheme="minorHAnsi"/>
          <w:b/>
          <w:bCs/>
          <w:sz w:val="26"/>
          <w:szCs w:val="26"/>
          <w:lang w:eastAsia="it-IT"/>
        </w:rPr>
        <w:t>PROGETTARE IL FUTURO. I CENTO CENTRI DI PROGETTAZIONE PER IL PAESE</w:t>
      </w:r>
    </w:p>
    <w:p w14:paraId="5AD2D43A" w14:textId="4334751D" w:rsidR="00BD34C7" w:rsidRPr="00C01014" w:rsidRDefault="00BD34C7" w:rsidP="00BD34C7">
      <w:pPr>
        <w:ind w:left="720"/>
        <w:jc w:val="both"/>
        <w:rPr>
          <w:rFonts w:eastAsia="Times New Roman" w:cstheme="minorHAnsi"/>
          <w:sz w:val="26"/>
          <w:szCs w:val="26"/>
          <w:lang w:eastAsia="it-IT"/>
        </w:rPr>
      </w:pPr>
      <w:r w:rsidRPr="00C01014">
        <w:rPr>
          <w:rFonts w:eastAsia="Times New Roman" w:cstheme="minorHAnsi"/>
          <w:sz w:val="26"/>
          <w:szCs w:val="26"/>
          <w:lang w:eastAsia="it-IT"/>
        </w:rPr>
        <w:t>Il ruolo da sempre assegnato alle Province e alle Città metropolitane di istituzioni per gli investimenti territoriali ha prodotto la costituzione, in ogni ente, di strutture specialistiche con professionalità mirate alla realizzazione delle opere pubbliche, dalla progettazione, alla gara, fino alla realizzazione dell’opera.</w:t>
      </w:r>
    </w:p>
    <w:p w14:paraId="4E7DB000" w14:textId="70FA129B" w:rsidR="00BD34C7" w:rsidRPr="00C01014" w:rsidRDefault="00BD34C7" w:rsidP="00BD34C7">
      <w:pPr>
        <w:ind w:left="720"/>
        <w:jc w:val="both"/>
        <w:rPr>
          <w:rFonts w:eastAsia="Times New Roman" w:cstheme="minorHAnsi"/>
          <w:sz w:val="26"/>
          <w:szCs w:val="26"/>
          <w:lang w:eastAsia="it-IT"/>
        </w:rPr>
      </w:pPr>
      <w:r w:rsidRPr="00C01014">
        <w:rPr>
          <w:rFonts w:eastAsia="Times New Roman" w:cstheme="minorHAnsi"/>
          <w:sz w:val="26"/>
          <w:szCs w:val="26"/>
          <w:lang w:eastAsia="it-IT"/>
        </w:rPr>
        <w:t>Queste professionalità si sono consolidate quando, nel 2015, è stato assegnato alle Province e alle Città metropolitane il ruolo di assistenza tecnica ai comuni.</w:t>
      </w:r>
    </w:p>
    <w:p w14:paraId="36267E30" w14:textId="4D8D6951" w:rsidR="00BD34C7" w:rsidRPr="00C01014" w:rsidRDefault="00BD34C7" w:rsidP="00BD34C7">
      <w:pPr>
        <w:pStyle w:val="n-zicg"/>
        <w:ind w:left="705" w:firstLine="3"/>
        <w:jc w:val="both"/>
        <w:rPr>
          <w:rFonts w:asciiTheme="minorHAnsi" w:hAnsiTheme="minorHAnsi" w:cstheme="minorHAnsi"/>
          <w:sz w:val="26"/>
          <w:szCs w:val="26"/>
        </w:rPr>
      </w:pPr>
      <w:r w:rsidRPr="00C01014">
        <w:rPr>
          <w:rFonts w:asciiTheme="minorHAnsi" w:hAnsiTheme="minorHAnsi" w:cstheme="minorHAnsi"/>
          <w:sz w:val="26"/>
          <w:szCs w:val="26"/>
        </w:rPr>
        <w:t xml:space="preserve">Le Stazioni Uniche Appaltanti delle Province, sono ormai un punto di riferimento non solo per i Comuni, ma spesso per tutta la Pubblica Amministrazione: 51 Province su 76 (67% del totale) hanno formalmente costituito una Stazione Unica Appaltante, cui aderisce il 42% dei Comuni , e dal 2016 al 2018 hanno incrementato di oltre il 60% del numero delle gare espletate e di oltre il 90% la cifra degli importi. </w:t>
      </w:r>
    </w:p>
    <w:p w14:paraId="70E6A828" w14:textId="77777777" w:rsidR="00C01014" w:rsidRPr="00C01014" w:rsidRDefault="00C01014" w:rsidP="00C01014">
      <w:pPr>
        <w:ind w:left="705"/>
        <w:jc w:val="both"/>
        <w:rPr>
          <w:rFonts w:eastAsia="Times New Roman" w:cstheme="minorHAnsi"/>
          <w:b/>
          <w:bCs/>
          <w:sz w:val="24"/>
          <w:szCs w:val="24"/>
          <w:u w:val="single"/>
          <w:lang w:eastAsia="it-IT"/>
        </w:rPr>
      </w:pPr>
      <w:r w:rsidRPr="00C01014">
        <w:rPr>
          <w:rFonts w:eastAsia="Times New Roman" w:cstheme="minorHAnsi"/>
          <w:b/>
          <w:bCs/>
          <w:sz w:val="24"/>
          <w:szCs w:val="24"/>
          <w:u w:val="single"/>
          <w:lang w:eastAsia="it-IT"/>
        </w:rPr>
        <w:t xml:space="preserve">LA RICHIESTA </w:t>
      </w:r>
      <w:r>
        <w:rPr>
          <w:rFonts w:eastAsia="Times New Roman" w:cstheme="minorHAnsi"/>
          <w:b/>
          <w:bCs/>
          <w:sz w:val="24"/>
          <w:szCs w:val="24"/>
          <w:u w:val="single"/>
          <w:lang w:eastAsia="it-IT"/>
        </w:rPr>
        <w:t>DELL’UNIONE DELLE PROVINCE D’</w:t>
      </w:r>
      <w:r w:rsidRPr="00C01014">
        <w:rPr>
          <w:rFonts w:eastAsia="Times New Roman" w:cstheme="minorHAnsi"/>
          <w:b/>
          <w:bCs/>
          <w:sz w:val="24"/>
          <w:szCs w:val="24"/>
          <w:u w:val="single"/>
          <w:lang w:eastAsia="it-IT"/>
        </w:rPr>
        <w:t>I</w:t>
      </w:r>
      <w:r>
        <w:rPr>
          <w:rFonts w:eastAsia="Times New Roman" w:cstheme="minorHAnsi"/>
          <w:b/>
          <w:bCs/>
          <w:sz w:val="24"/>
          <w:szCs w:val="24"/>
          <w:u w:val="single"/>
          <w:lang w:eastAsia="it-IT"/>
        </w:rPr>
        <w:t>TALIA</w:t>
      </w:r>
    </w:p>
    <w:p w14:paraId="5E5872F8" w14:textId="667B9C9E" w:rsidR="00BD34C7" w:rsidRDefault="00BD34C7" w:rsidP="00BD34C7">
      <w:pPr>
        <w:pStyle w:val="n-zicg"/>
        <w:ind w:left="705" w:firstLine="3"/>
        <w:jc w:val="both"/>
        <w:rPr>
          <w:rFonts w:asciiTheme="minorHAnsi" w:hAnsiTheme="minorHAnsi" w:cstheme="minorHAnsi"/>
          <w:color w:val="000000"/>
          <w:sz w:val="26"/>
          <w:szCs w:val="26"/>
        </w:rPr>
      </w:pPr>
      <w:r w:rsidRPr="00C01014">
        <w:rPr>
          <w:rFonts w:asciiTheme="minorHAnsi" w:hAnsiTheme="minorHAnsi" w:cstheme="minorHAnsi"/>
          <w:color w:val="000000"/>
          <w:sz w:val="26"/>
          <w:szCs w:val="26"/>
        </w:rPr>
        <w:t xml:space="preserve">Nella fase di rilancio del Paese queste professionalità e queste strutture diventano preziose: </w:t>
      </w:r>
      <w:r w:rsidR="00C01014">
        <w:rPr>
          <w:rFonts w:asciiTheme="minorHAnsi" w:hAnsiTheme="minorHAnsi" w:cstheme="minorHAnsi"/>
          <w:color w:val="000000"/>
          <w:sz w:val="26"/>
          <w:szCs w:val="26"/>
        </w:rPr>
        <w:t xml:space="preserve">la capacità di progettare le opere e gli investimenti sarà </w:t>
      </w:r>
      <w:r w:rsidR="00C763D6">
        <w:rPr>
          <w:rFonts w:asciiTheme="minorHAnsi" w:hAnsiTheme="minorHAnsi" w:cstheme="minorHAnsi"/>
          <w:color w:val="000000"/>
          <w:sz w:val="26"/>
          <w:szCs w:val="26"/>
        </w:rPr>
        <w:t xml:space="preserve">determinante per consentire un uso efficace delle risorse a disposizione, a tutti i livelli. </w:t>
      </w:r>
    </w:p>
    <w:p w14:paraId="2F344D77" w14:textId="6CBBE2FD" w:rsidR="00C763D6" w:rsidRPr="00C01014" w:rsidRDefault="00C763D6" w:rsidP="00C763D6">
      <w:pPr>
        <w:pStyle w:val="n-zicg"/>
        <w:ind w:left="705" w:firstLine="3"/>
        <w:jc w:val="both"/>
        <w:rPr>
          <w:rFonts w:asciiTheme="minorHAnsi" w:hAnsiTheme="minorHAnsi" w:cstheme="minorHAnsi"/>
          <w:color w:val="000000"/>
          <w:sz w:val="26"/>
          <w:szCs w:val="26"/>
        </w:rPr>
      </w:pPr>
      <w:r>
        <w:rPr>
          <w:rFonts w:asciiTheme="minorHAnsi" w:hAnsiTheme="minorHAnsi" w:cstheme="minorHAnsi"/>
          <w:color w:val="000000"/>
          <w:sz w:val="26"/>
          <w:szCs w:val="26"/>
        </w:rPr>
        <w:t xml:space="preserve">Si tratta di una funzione che non può essere centralizzata, perché ha bisogno di un legame saldo con il territorio per poterne cogliere non solo esigenze ma anche criticità e debolezze. </w:t>
      </w:r>
    </w:p>
    <w:p w14:paraId="5A6B9C13" w14:textId="4789D461" w:rsidR="00C01014" w:rsidRPr="00537AEE" w:rsidRDefault="00C763D6" w:rsidP="00C01014">
      <w:pPr>
        <w:pStyle w:val="n-zicg"/>
        <w:ind w:left="705"/>
        <w:jc w:val="both"/>
        <w:rPr>
          <w:rFonts w:asciiTheme="minorHAnsi" w:hAnsiTheme="minorHAnsi" w:cstheme="minorHAnsi"/>
          <w:color w:val="000000"/>
          <w:sz w:val="26"/>
          <w:szCs w:val="26"/>
          <w:u w:val="single"/>
        </w:rPr>
      </w:pPr>
      <w:r>
        <w:rPr>
          <w:rFonts w:asciiTheme="minorHAnsi" w:hAnsiTheme="minorHAnsi" w:cstheme="minorHAnsi"/>
          <w:color w:val="000000"/>
          <w:sz w:val="26"/>
          <w:szCs w:val="26"/>
        </w:rPr>
        <w:t xml:space="preserve">Per questo si </w:t>
      </w:r>
      <w:r w:rsidRPr="00537AEE">
        <w:rPr>
          <w:rFonts w:asciiTheme="minorHAnsi" w:hAnsiTheme="minorHAnsi" w:cstheme="minorHAnsi"/>
          <w:color w:val="000000"/>
          <w:sz w:val="26"/>
          <w:szCs w:val="26"/>
          <w:u w:val="single"/>
        </w:rPr>
        <w:t>chiede di r</w:t>
      </w:r>
      <w:r w:rsidR="00DD5D6B" w:rsidRPr="00537AEE">
        <w:rPr>
          <w:rFonts w:asciiTheme="minorHAnsi" w:hAnsiTheme="minorHAnsi" w:cstheme="minorHAnsi"/>
          <w:color w:val="000000"/>
          <w:sz w:val="26"/>
          <w:szCs w:val="26"/>
          <w:u w:val="single"/>
        </w:rPr>
        <w:t xml:space="preserve">iconoscere il ruolo delle Stazioni Uniche Appaltanti </w:t>
      </w:r>
      <w:r w:rsidR="00C01014" w:rsidRPr="00537AEE">
        <w:rPr>
          <w:rFonts w:asciiTheme="minorHAnsi" w:hAnsiTheme="minorHAnsi" w:cstheme="minorHAnsi"/>
          <w:color w:val="000000"/>
          <w:sz w:val="26"/>
          <w:szCs w:val="26"/>
          <w:u w:val="single"/>
        </w:rPr>
        <w:t xml:space="preserve">delle Province </w:t>
      </w:r>
      <w:r w:rsidR="00DD5D6B" w:rsidRPr="00537AEE">
        <w:rPr>
          <w:rFonts w:asciiTheme="minorHAnsi" w:hAnsiTheme="minorHAnsi" w:cstheme="minorHAnsi"/>
          <w:color w:val="000000"/>
          <w:sz w:val="26"/>
          <w:szCs w:val="26"/>
          <w:u w:val="single"/>
        </w:rPr>
        <w:t>e consentirne la piena valorizzazione attraverso un piano di assunzioni mirate di personale altamente qualificato.</w:t>
      </w:r>
    </w:p>
    <w:p w14:paraId="633E3B4C" w14:textId="053BCE12" w:rsidR="00C01014" w:rsidRPr="00537AEE" w:rsidRDefault="00C763D6" w:rsidP="00C01014">
      <w:pPr>
        <w:pStyle w:val="n-zicg"/>
        <w:ind w:left="705"/>
        <w:jc w:val="both"/>
        <w:rPr>
          <w:rFonts w:asciiTheme="minorHAnsi" w:hAnsiTheme="minorHAnsi" w:cstheme="minorHAnsi"/>
          <w:color w:val="000000"/>
          <w:sz w:val="26"/>
          <w:szCs w:val="26"/>
          <w:u w:val="single"/>
        </w:rPr>
      </w:pPr>
      <w:r w:rsidRPr="00537AEE">
        <w:rPr>
          <w:rFonts w:asciiTheme="minorHAnsi" w:hAnsiTheme="minorHAnsi" w:cstheme="minorHAnsi"/>
          <w:color w:val="000000"/>
          <w:sz w:val="26"/>
          <w:szCs w:val="26"/>
          <w:u w:val="single"/>
        </w:rPr>
        <w:t>Si chiede inoltre di c</w:t>
      </w:r>
      <w:r w:rsidR="00C01014" w:rsidRPr="00537AEE">
        <w:rPr>
          <w:rFonts w:asciiTheme="minorHAnsi" w:hAnsiTheme="minorHAnsi" w:cstheme="minorHAnsi"/>
          <w:color w:val="000000"/>
          <w:sz w:val="26"/>
          <w:szCs w:val="26"/>
          <w:u w:val="single"/>
        </w:rPr>
        <w:t xml:space="preserve">ostituire nelle Province e nelle Città metropolitane i 100 Centri di progettazione per il Paese, strutture agili al servizio non solo dei territori ma dello Stato. </w:t>
      </w:r>
    </w:p>
    <w:p w14:paraId="569D60E2" w14:textId="65A84427" w:rsidR="00DD5D6B" w:rsidRPr="00F04542" w:rsidRDefault="00DD5D6B" w:rsidP="00F04542">
      <w:pPr>
        <w:pStyle w:val="Paragrafoelenco"/>
        <w:numPr>
          <w:ilvl w:val="0"/>
          <w:numId w:val="10"/>
        </w:numPr>
        <w:rPr>
          <w:rFonts w:cstheme="minorHAnsi"/>
          <w:b/>
          <w:bCs/>
          <w:color w:val="000000"/>
          <w:sz w:val="26"/>
          <w:szCs w:val="26"/>
        </w:rPr>
      </w:pPr>
      <w:r w:rsidRPr="00F04542">
        <w:rPr>
          <w:rFonts w:cstheme="minorHAnsi"/>
          <w:b/>
          <w:bCs/>
          <w:color w:val="000000"/>
          <w:sz w:val="26"/>
          <w:szCs w:val="26"/>
        </w:rPr>
        <w:t xml:space="preserve">PROGETTARE IL FUTURO. LE SEMPLIFICAZIONI INDISPENSABILI </w:t>
      </w:r>
    </w:p>
    <w:p w14:paraId="0247B871" w14:textId="5F752288" w:rsidR="00DD5D6B" w:rsidRPr="00C01014" w:rsidRDefault="00DD5D6B" w:rsidP="00DD5D6B">
      <w:pPr>
        <w:pStyle w:val="Default"/>
        <w:ind w:left="720"/>
        <w:jc w:val="both"/>
        <w:rPr>
          <w:rFonts w:asciiTheme="minorHAnsi" w:hAnsiTheme="minorHAnsi" w:cstheme="minorHAnsi"/>
          <w:sz w:val="26"/>
          <w:szCs w:val="26"/>
        </w:rPr>
      </w:pPr>
      <w:r w:rsidRPr="00C01014">
        <w:rPr>
          <w:rFonts w:asciiTheme="minorHAnsi" w:hAnsiTheme="minorHAnsi" w:cstheme="minorHAnsi"/>
          <w:sz w:val="26"/>
          <w:szCs w:val="26"/>
        </w:rPr>
        <w:t xml:space="preserve">Non è possibile rilanciare gli investimenti nel Paese se non si interviene con norme di semplificazione, accelerazione delle procedure di gara e di appalto e rafforzamento delle stazioni appaltanti. Il rischio, altrimenti, è di destinare risorse per cantieri che saranno aperti tra due anni. </w:t>
      </w:r>
    </w:p>
    <w:p w14:paraId="5973DDD2" w14:textId="77777777" w:rsidR="00DD5D6B" w:rsidRPr="00C01014" w:rsidRDefault="00DD5D6B" w:rsidP="00DD5D6B">
      <w:pPr>
        <w:pStyle w:val="Default"/>
        <w:jc w:val="both"/>
        <w:rPr>
          <w:rFonts w:asciiTheme="minorHAnsi" w:hAnsiTheme="minorHAnsi" w:cstheme="minorHAnsi"/>
          <w:sz w:val="26"/>
          <w:szCs w:val="26"/>
        </w:rPr>
      </w:pPr>
    </w:p>
    <w:p w14:paraId="5DA5BAE9" w14:textId="225A2C85" w:rsidR="00DD5D6B" w:rsidRPr="00C01014" w:rsidRDefault="00DD5D6B"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lastRenderedPageBreak/>
        <w:t xml:space="preserve">Le proposte di semplificazione e accelerazione delle procedure riguardano le fasi di programmazione, progettazione ed affidamento dei contratti pubblici sotto e sopra soglia comunitaria. </w:t>
      </w:r>
    </w:p>
    <w:p w14:paraId="1BF9F933" w14:textId="77777777" w:rsidR="00C01014" w:rsidRPr="00C01014" w:rsidRDefault="00C01014" w:rsidP="00C01014">
      <w:pPr>
        <w:ind w:left="705"/>
        <w:jc w:val="both"/>
        <w:rPr>
          <w:rFonts w:eastAsia="Times New Roman" w:cstheme="minorHAnsi"/>
          <w:b/>
          <w:bCs/>
          <w:sz w:val="26"/>
          <w:szCs w:val="26"/>
          <w:u w:val="single"/>
          <w:lang w:eastAsia="it-IT"/>
        </w:rPr>
      </w:pPr>
    </w:p>
    <w:p w14:paraId="141759AC" w14:textId="5ED7E85C" w:rsidR="00C01014" w:rsidRPr="00C01014" w:rsidRDefault="00C01014" w:rsidP="00C01014">
      <w:pPr>
        <w:ind w:left="705"/>
        <w:jc w:val="both"/>
        <w:rPr>
          <w:rFonts w:eastAsia="Times New Roman" w:cstheme="minorHAnsi"/>
          <w:b/>
          <w:bCs/>
          <w:sz w:val="26"/>
          <w:szCs w:val="26"/>
          <w:u w:val="single"/>
          <w:lang w:eastAsia="it-IT"/>
        </w:rPr>
      </w:pPr>
      <w:r w:rsidRPr="00C01014">
        <w:rPr>
          <w:rFonts w:eastAsia="Times New Roman" w:cstheme="minorHAnsi"/>
          <w:b/>
          <w:bCs/>
          <w:sz w:val="26"/>
          <w:szCs w:val="26"/>
          <w:u w:val="single"/>
          <w:lang w:eastAsia="it-IT"/>
        </w:rPr>
        <w:t>LA RICHIESTA DELL’UNIONE DELLE PROVINCE D’ITALIA</w:t>
      </w:r>
    </w:p>
    <w:p w14:paraId="3A0B4455" w14:textId="224549A6" w:rsidR="00DD5D6B" w:rsidRPr="00C01014" w:rsidRDefault="00C01014"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t>L</w:t>
      </w:r>
      <w:r w:rsidR="00DD5D6B" w:rsidRPr="00C01014">
        <w:rPr>
          <w:rFonts w:asciiTheme="minorHAnsi" w:hAnsiTheme="minorHAnsi" w:cstheme="minorHAnsi"/>
          <w:sz w:val="26"/>
          <w:szCs w:val="26"/>
        </w:rPr>
        <w:t>a possibilità di espletare le procedure di appalto anche in mancanza di previsione nei documenti di programmazione degli investimenti e degli acquisti</w:t>
      </w:r>
      <w:r w:rsidRPr="00C01014">
        <w:rPr>
          <w:rFonts w:asciiTheme="minorHAnsi" w:hAnsiTheme="minorHAnsi" w:cstheme="minorHAnsi"/>
          <w:sz w:val="26"/>
          <w:szCs w:val="26"/>
        </w:rPr>
        <w:t>.</w:t>
      </w:r>
    </w:p>
    <w:p w14:paraId="0437F130" w14:textId="77777777" w:rsidR="00C01014" w:rsidRPr="00C01014" w:rsidRDefault="00C01014" w:rsidP="00DD5D6B">
      <w:pPr>
        <w:pStyle w:val="Default"/>
        <w:ind w:left="708"/>
        <w:jc w:val="both"/>
        <w:rPr>
          <w:rFonts w:asciiTheme="minorHAnsi" w:hAnsiTheme="minorHAnsi" w:cstheme="minorHAnsi"/>
          <w:sz w:val="26"/>
          <w:szCs w:val="26"/>
        </w:rPr>
      </w:pPr>
    </w:p>
    <w:p w14:paraId="5DD8BCA1" w14:textId="7F844165" w:rsidR="00DD5D6B" w:rsidRPr="00C01014" w:rsidRDefault="00C01014"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t>L</w:t>
      </w:r>
      <w:r w:rsidR="00DD5D6B" w:rsidRPr="00C01014">
        <w:rPr>
          <w:rFonts w:asciiTheme="minorHAnsi" w:hAnsiTheme="minorHAnsi" w:cstheme="minorHAnsi"/>
          <w:sz w:val="26"/>
          <w:szCs w:val="26"/>
        </w:rPr>
        <w:t>a previsione di un unico livello di progettazione definitivo-esecutivo e la semplificazione delle conferenze di servizio per l’approvazione del progetto</w:t>
      </w:r>
      <w:r w:rsidRPr="00C01014">
        <w:rPr>
          <w:rFonts w:asciiTheme="minorHAnsi" w:hAnsiTheme="minorHAnsi" w:cstheme="minorHAnsi"/>
          <w:sz w:val="26"/>
          <w:szCs w:val="26"/>
        </w:rPr>
        <w:t>.</w:t>
      </w:r>
      <w:r w:rsidR="00DD5D6B" w:rsidRPr="00C01014">
        <w:rPr>
          <w:rFonts w:asciiTheme="minorHAnsi" w:hAnsiTheme="minorHAnsi" w:cstheme="minorHAnsi"/>
          <w:sz w:val="26"/>
          <w:szCs w:val="26"/>
        </w:rPr>
        <w:t xml:space="preserve"> </w:t>
      </w:r>
    </w:p>
    <w:p w14:paraId="4EFBA81F" w14:textId="77777777" w:rsidR="00C01014" w:rsidRPr="00C01014" w:rsidRDefault="00C01014" w:rsidP="00DD5D6B">
      <w:pPr>
        <w:pStyle w:val="Default"/>
        <w:ind w:left="708"/>
        <w:jc w:val="both"/>
        <w:rPr>
          <w:rFonts w:asciiTheme="minorHAnsi" w:hAnsiTheme="minorHAnsi" w:cstheme="minorHAnsi"/>
          <w:sz w:val="26"/>
          <w:szCs w:val="26"/>
        </w:rPr>
      </w:pPr>
    </w:p>
    <w:p w14:paraId="6CA9DE85" w14:textId="6814C053" w:rsidR="00DD5D6B" w:rsidRPr="00C01014" w:rsidRDefault="00C01014"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t>L</w:t>
      </w:r>
      <w:r w:rsidR="00DD5D6B" w:rsidRPr="00C01014">
        <w:rPr>
          <w:rFonts w:asciiTheme="minorHAnsi" w:hAnsiTheme="minorHAnsi" w:cstheme="minorHAnsi"/>
          <w:sz w:val="26"/>
          <w:szCs w:val="26"/>
        </w:rPr>
        <w:t>a possibilità di stipulare il contratto senza attendere il termine di 35 giorni rispetto alla data di aggiudicazione</w:t>
      </w:r>
      <w:r w:rsidRPr="00C01014">
        <w:rPr>
          <w:rFonts w:asciiTheme="minorHAnsi" w:hAnsiTheme="minorHAnsi" w:cstheme="minorHAnsi"/>
          <w:sz w:val="26"/>
          <w:szCs w:val="26"/>
        </w:rPr>
        <w:t xml:space="preserve">. </w:t>
      </w:r>
      <w:r w:rsidR="00DD5D6B" w:rsidRPr="00C01014">
        <w:rPr>
          <w:rFonts w:asciiTheme="minorHAnsi" w:hAnsiTheme="minorHAnsi" w:cstheme="minorHAnsi"/>
          <w:sz w:val="26"/>
          <w:szCs w:val="26"/>
        </w:rPr>
        <w:t xml:space="preserve"> </w:t>
      </w:r>
    </w:p>
    <w:p w14:paraId="3193EEB8" w14:textId="77777777" w:rsidR="00C01014" w:rsidRPr="00C01014" w:rsidRDefault="00C01014" w:rsidP="00DD5D6B">
      <w:pPr>
        <w:pStyle w:val="Default"/>
        <w:ind w:left="708"/>
        <w:jc w:val="both"/>
        <w:rPr>
          <w:rFonts w:asciiTheme="minorHAnsi" w:hAnsiTheme="minorHAnsi" w:cstheme="minorHAnsi"/>
          <w:sz w:val="26"/>
          <w:szCs w:val="26"/>
        </w:rPr>
      </w:pPr>
    </w:p>
    <w:p w14:paraId="31D69059" w14:textId="79E402B1" w:rsidR="00DD5D6B" w:rsidRPr="00C01014" w:rsidRDefault="00C01014"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t>L</w:t>
      </w:r>
      <w:r w:rsidR="00DD5D6B" w:rsidRPr="00C01014">
        <w:rPr>
          <w:rFonts w:asciiTheme="minorHAnsi" w:hAnsiTheme="minorHAnsi" w:cstheme="minorHAnsi"/>
          <w:sz w:val="26"/>
          <w:szCs w:val="26"/>
        </w:rPr>
        <w:t>a semplificazione delle procedure di affidamento dei contratti relativi a lavori, servizi e forniture di importi inferiori alla soglia comunitaria prevista dall’articolo 35 del Codice dei contratti pubblici, riferite alle modalità di scelta del contraente</w:t>
      </w:r>
      <w:r w:rsidRPr="00C01014">
        <w:rPr>
          <w:rFonts w:asciiTheme="minorHAnsi" w:hAnsiTheme="minorHAnsi" w:cstheme="minorHAnsi"/>
          <w:sz w:val="26"/>
          <w:szCs w:val="26"/>
        </w:rPr>
        <w:t>.</w:t>
      </w:r>
      <w:r w:rsidR="00DD5D6B" w:rsidRPr="00C01014">
        <w:rPr>
          <w:rFonts w:asciiTheme="minorHAnsi" w:hAnsiTheme="minorHAnsi" w:cstheme="minorHAnsi"/>
          <w:sz w:val="26"/>
          <w:szCs w:val="26"/>
        </w:rPr>
        <w:t xml:space="preserve"> </w:t>
      </w:r>
    </w:p>
    <w:p w14:paraId="2E022D86" w14:textId="77777777" w:rsidR="00C01014" w:rsidRPr="00C01014" w:rsidRDefault="00C01014" w:rsidP="00DD5D6B">
      <w:pPr>
        <w:pStyle w:val="Default"/>
        <w:ind w:left="708"/>
        <w:jc w:val="both"/>
        <w:rPr>
          <w:rFonts w:asciiTheme="minorHAnsi" w:hAnsiTheme="minorHAnsi" w:cstheme="minorHAnsi"/>
          <w:sz w:val="26"/>
          <w:szCs w:val="26"/>
        </w:rPr>
      </w:pPr>
    </w:p>
    <w:p w14:paraId="4F8994A6" w14:textId="5F2B7841" w:rsidR="00DD5D6B" w:rsidRPr="00C01014" w:rsidRDefault="00C01014"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t>L</w:t>
      </w:r>
      <w:r w:rsidR="00DD5D6B" w:rsidRPr="00C01014">
        <w:rPr>
          <w:rFonts w:asciiTheme="minorHAnsi" w:hAnsiTheme="minorHAnsi" w:cstheme="minorHAnsi"/>
          <w:sz w:val="26"/>
          <w:szCs w:val="26"/>
        </w:rPr>
        <w:t>a semplificazione delle procedure di affidamento dei contratti relativi lavori, servizi e forniture di importi superiori alla soglia comunitaria prevista dall’articolo 35 del Codice dei contratti pubblici, riferite alle modalità di scelta del contraente</w:t>
      </w:r>
      <w:r w:rsidRPr="00C01014">
        <w:rPr>
          <w:rFonts w:asciiTheme="minorHAnsi" w:hAnsiTheme="minorHAnsi" w:cstheme="minorHAnsi"/>
          <w:sz w:val="26"/>
          <w:szCs w:val="26"/>
        </w:rPr>
        <w:t>.</w:t>
      </w:r>
    </w:p>
    <w:p w14:paraId="2690540B" w14:textId="77777777" w:rsidR="00C01014" w:rsidRPr="00C01014" w:rsidRDefault="00C01014" w:rsidP="00DD5D6B">
      <w:pPr>
        <w:pStyle w:val="Default"/>
        <w:ind w:left="708"/>
        <w:jc w:val="both"/>
        <w:rPr>
          <w:rFonts w:asciiTheme="minorHAnsi" w:hAnsiTheme="minorHAnsi" w:cstheme="minorHAnsi"/>
          <w:sz w:val="26"/>
          <w:szCs w:val="26"/>
        </w:rPr>
      </w:pPr>
    </w:p>
    <w:p w14:paraId="035B7B3A" w14:textId="5273757E" w:rsidR="00DD5D6B" w:rsidRPr="00C01014" w:rsidRDefault="00C01014" w:rsidP="00DD5D6B">
      <w:pPr>
        <w:pStyle w:val="Default"/>
        <w:ind w:left="708"/>
        <w:jc w:val="both"/>
        <w:rPr>
          <w:rFonts w:asciiTheme="minorHAnsi" w:hAnsiTheme="minorHAnsi" w:cstheme="minorHAnsi"/>
          <w:sz w:val="26"/>
          <w:szCs w:val="26"/>
        </w:rPr>
      </w:pPr>
      <w:r w:rsidRPr="00C01014">
        <w:rPr>
          <w:rFonts w:asciiTheme="minorHAnsi" w:hAnsiTheme="minorHAnsi" w:cstheme="minorHAnsi"/>
          <w:sz w:val="26"/>
          <w:szCs w:val="26"/>
        </w:rPr>
        <w:t>L</w:t>
      </w:r>
      <w:r w:rsidR="00DD5D6B" w:rsidRPr="00C01014">
        <w:rPr>
          <w:rFonts w:asciiTheme="minorHAnsi" w:hAnsiTheme="minorHAnsi" w:cstheme="minorHAnsi"/>
          <w:sz w:val="26"/>
          <w:szCs w:val="26"/>
        </w:rPr>
        <w:t xml:space="preserve">a possibilità di utilizzare le procedure di affidamento di cui ai punti precedenti anche per gli incarichi di progettazione. </w:t>
      </w:r>
    </w:p>
    <w:p w14:paraId="7A9752DE" w14:textId="09F4F0F5" w:rsidR="00C01014" w:rsidRPr="00C01014" w:rsidRDefault="00C01014">
      <w:pPr>
        <w:rPr>
          <w:rFonts w:eastAsia="Times New Roman" w:cstheme="minorHAnsi"/>
          <w:sz w:val="26"/>
          <w:szCs w:val="26"/>
          <w:lang w:eastAsia="it-IT"/>
        </w:rPr>
      </w:pPr>
      <w:r w:rsidRPr="00C01014">
        <w:rPr>
          <w:rFonts w:eastAsia="Times New Roman" w:cstheme="minorHAnsi"/>
          <w:sz w:val="26"/>
          <w:szCs w:val="26"/>
          <w:lang w:eastAsia="it-IT"/>
        </w:rPr>
        <w:br w:type="page"/>
      </w:r>
    </w:p>
    <w:p w14:paraId="6BA05CDB" w14:textId="422AC076" w:rsidR="00705956" w:rsidRPr="00C01014" w:rsidRDefault="004D7100" w:rsidP="004D7100">
      <w:pPr>
        <w:pStyle w:val="Paragrafoelenco"/>
        <w:jc w:val="center"/>
        <w:rPr>
          <w:rFonts w:eastAsia="Times New Roman" w:cstheme="minorHAnsi"/>
          <w:b/>
          <w:bCs/>
          <w:sz w:val="26"/>
          <w:szCs w:val="26"/>
          <w:lang w:eastAsia="it-IT"/>
        </w:rPr>
      </w:pPr>
      <w:r w:rsidRPr="00C01014">
        <w:rPr>
          <w:rFonts w:eastAsia="Times New Roman" w:cstheme="minorHAnsi"/>
          <w:b/>
          <w:bCs/>
          <w:sz w:val="26"/>
          <w:szCs w:val="26"/>
          <w:lang w:eastAsia="it-IT"/>
        </w:rPr>
        <w:lastRenderedPageBreak/>
        <w:t xml:space="preserve">Azione </w:t>
      </w:r>
      <w:r w:rsidR="00F04542">
        <w:rPr>
          <w:rFonts w:eastAsia="Times New Roman" w:cstheme="minorHAnsi"/>
          <w:b/>
          <w:bCs/>
          <w:sz w:val="26"/>
          <w:szCs w:val="26"/>
          <w:lang w:eastAsia="it-IT"/>
        </w:rPr>
        <w:t>3</w:t>
      </w:r>
      <w:r w:rsidRPr="00C01014">
        <w:rPr>
          <w:rFonts w:eastAsia="Times New Roman" w:cstheme="minorHAnsi"/>
          <w:b/>
          <w:bCs/>
          <w:sz w:val="26"/>
          <w:szCs w:val="26"/>
          <w:lang w:eastAsia="it-IT"/>
        </w:rPr>
        <w:t>: la Pianificazione Strategica dello Sviluppo</w:t>
      </w:r>
    </w:p>
    <w:p w14:paraId="0CE6D71A" w14:textId="3ABCF72D" w:rsidR="00D54B63" w:rsidRPr="00C01014" w:rsidRDefault="004D7100" w:rsidP="00A90A03">
      <w:pPr>
        <w:jc w:val="both"/>
        <w:rPr>
          <w:rFonts w:eastAsia="Times New Roman" w:cstheme="minorHAnsi"/>
          <w:sz w:val="26"/>
          <w:szCs w:val="26"/>
          <w:lang w:eastAsia="it-IT"/>
        </w:rPr>
      </w:pPr>
      <w:r w:rsidRPr="00C01014">
        <w:rPr>
          <w:rFonts w:eastAsia="Times New Roman" w:cstheme="minorHAnsi"/>
          <w:sz w:val="26"/>
          <w:szCs w:val="26"/>
          <w:lang w:eastAsia="it-IT"/>
        </w:rPr>
        <w:t xml:space="preserve">L’emergenza COVID ha ricostruito sui territori un solido quadro di coordinamento istituzionale tra tutti gli attori in campo. I tavoli strategici che sono stati costituiti in tutte le Province hanno rappresentato, e rappresentano ancora, il riferimento certo entro cui lo </w:t>
      </w:r>
      <w:r w:rsidR="00537AEE">
        <w:rPr>
          <w:rFonts w:eastAsia="Times New Roman" w:cstheme="minorHAnsi"/>
          <w:sz w:val="26"/>
          <w:szCs w:val="26"/>
          <w:lang w:eastAsia="it-IT"/>
        </w:rPr>
        <w:t>Governo e Regioni</w:t>
      </w:r>
      <w:r w:rsidRPr="00C01014">
        <w:rPr>
          <w:rFonts w:eastAsia="Times New Roman" w:cstheme="minorHAnsi"/>
          <w:sz w:val="26"/>
          <w:szCs w:val="26"/>
          <w:lang w:eastAsia="it-IT"/>
        </w:rPr>
        <w:t>, nel raccordo con i prefetti, ha</w:t>
      </w:r>
      <w:r w:rsidR="00537AEE">
        <w:rPr>
          <w:rFonts w:eastAsia="Times New Roman" w:cstheme="minorHAnsi"/>
          <w:sz w:val="26"/>
          <w:szCs w:val="26"/>
          <w:lang w:eastAsia="it-IT"/>
        </w:rPr>
        <w:t>nno</w:t>
      </w:r>
      <w:r w:rsidRPr="00C01014">
        <w:rPr>
          <w:rFonts w:eastAsia="Times New Roman" w:cstheme="minorHAnsi"/>
          <w:sz w:val="26"/>
          <w:szCs w:val="26"/>
          <w:lang w:eastAsia="it-IT"/>
        </w:rPr>
        <w:t xml:space="preserve"> </w:t>
      </w:r>
      <w:r w:rsidR="00D54B63" w:rsidRPr="00C01014">
        <w:rPr>
          <w:rFonts w:eastAsia="Times New Roman" w:cstheme="minorHAnsi"/>
          <w:sz w:val="26"/>
          <w:szCs w:val="26"/>
          <w:lang w:eastAsia="it-IT"/>
        </w:rPr>
        <w:t>potuto coordinare le azioni con Province, Città metropolitane, Comuni, forze economiche e sociali.</w:t>
      </w:r>
    </w:p>
    <w:p w14:paraId="714C805E" w14:textId="0FB5E77A" w:rsidR="00D54B63" w:rsidRPr="00C01014" w:rsidRDefault="00D54B63" w:rsidP="00A90A03">
      <w:pPr>
        <w:jc w:val="both"/>
        <w:rPr>
          <w:rFonts w:eastAsia="Times New Roman" w:cstheme="minorHAnsi"/>
          <w:sz w:val="26"/>
          <w:szCs w:val="26"/>
          <w:lang w:eastAsia="it-IT"/>
        </w:rPr>
      </w:pPr>
      <w:r w:rsidRPr="00C01014">
        <w:rPr>
          <w:rFonts w:eastAsia="Times New Roman" w:cstheme="minorHAnsi"/>
          <w:sz w:val="26"/>
          <w:szCs w:val="26"/>
          <w:lang w:eastAsia="it-IT"/>
        </w:rPr>
        <w:t>Questo modello istituzionale, che ha di fatto replicato sui territori la linea indicata a livello centrale dal Governo, deve essere consolidato e utilizzato, nella fase di ripresa, come sede strategica della programmazione dello sviluppo.</w:t>
      </w:r>
    </w:p>
    <w:p w14:paraId="02AD98F5" w14:textId="77777777" w:rsidR="00C763D6" w:rsidRPr="00C01014" w:rsidRDefault="00C763D6" w:rsidP="00C763D6">
      <w:pPr>
        <w:jc w:val="both"/>
        <w:rPr>
          <w:rFonts w:eastAsia="Times New Roman" w:cstheme="minorHAnsi"/>
          <w:b/>
          <w:bCs/>
          <w:sz w:val="26"/>
          <w:szCs w:val="26"/>
          <w:u w:val="single"/>
          <w:lang w:eastAsia="it-IT"/>
        </w:rPr>
      </w:pPr>
      <w:r w:rsidRPr="00C01014">
        <w:rPr>
          <w:rFonts w:eastAsia="Times New Roman" w:cstheme="minorHAnsi"/>
          <w:b/>
          <w:bCs/>
          <w:sz w:val="26"/>
          <w:szCs w:val="26"/>
          <w:u w:val="single"/>
          <w:lang w:eastAsia="it-IT"/>
        </w:rPr>
        <w:t>LA RICHIESTA DELL’UNIONE DELLE PROVINCE D’ITALIA</w:t>
      </w:r>
    </w:p>
    <w:p w14:paraId="2016C994" w14:textId="1DFFB6AF" w:rsidR="00D54B63" w:rsidRPr="00C01014" w:rsidRDefault="00D54B63" w:rsidP="00A90A03">
      <w:pPr>
        <w:jc w:val="both"/>
        <w:rPr>
          <w:rFonts w:eastAsia="Times New Roman" w:cstheme="minorHAnsi"/>
          <w:sz w:val="26"/>
          <w:szCs w:val="26"/>
          <w:lang w:eastAsia="it-IT"/>
        </w:rPr>
      </w:pPr>
      <w:r w:rsidRPr="00C01014">
        <w:rPr>
          <w:rFonts w:eastAsia="Times New Roman" w:cstheme="minorHAnsi"/>
          <w:sz w:val="26"/>
          <w:szCs w:val="26"/>
          <w:lang w:eastAsia="it-IT"/>
        </w:rPr>
        <w:t xml:space="preserve">Il disallineamento tra Province e Città metropolitane rispetto alle funzioni </w:t>
      </w:r>
      <w:r w:rsidR="004D7100" w:rsidRPr="00C01014">
        <w:rPr>
          <w:rFonts w:eastAsia="Times New Roman" w:cstheme="minorHAnsi"/>
          <w:sz w:val="26"/>
          <w:szCs w:val="26"/>
          <w:lang w:eastAsia="it-IT"/>
        </w:rPr>
        <w:t>su</w:t>
      </w:r>
      <w:r w:rsidRPr="00C01014">
        <w:rPr>
          <w:rFonts w:eastAsia="Times New Roman" w:cstheme="minorHAnsi"/>
          <w:sz w:val="26"/>
          <w:szCs w:val="26"/>
          <w:lang w:eastAsia="it-IT"/>
        </w:rPr>
        <w:t>lla</w:t>
      </w:r>
      <w:r w:rsidR="004D7100" w:rsidRPr="00C01014">
        <w:rPr>
          <w:rFonts w:eastAsia="Times New Roman" w:cstheme="minorHAnsi"/>
          <w:sz w:val="26"/>
          <w:szCs w:val="26"/>
          <w:lang w:eastAsia="it-IT"/>
        </w:rPr>
        <w:t xml:space="preserve"> pianificazione strategica e </w:t>
      </w:r>
      <w:r w:rsidRPr="00C01014">
        <w:rPr>
          <w:rFonts w:eastAsia="Times New Roman" w:cstheme="minorHAnsi"/>
          <w:sz w:val="26"/>
          <w:szCs w:val="26"/>
          <w:lang w:eastAsia="it-IT"/>
        </w:rPr>
        <w:t xml:space="preserve">lo </w:t>
      </w:r>
      <w:r w:rsidR="004D7100" w:rsidRPr="00C01014">
        <w:rPr>
          <w:rFonts w:eastAsia="Times New Roman" w:cstheme="minorHAnsi"/>
          <w:sz w:val="26"/>
          <w:szCs w:val="26"/>
          <w:lang w:eastAsia="it-IT"/>
        </w:rPr>
        <w:t>sviluppo economico</w:t>
      </w:r>
      <w:r w:rsidRPr="00C01014">
        <w:rPr>
          <w:rFonts w:eastAsia="Times New Roman" w:cstheme="minorHAnsi"/>
          <w:sz w:val="26"/>
          <w:szCs w:val="26"/>
          <w:lang w:eastAsia="it-IT"/>
        </w:rPr>
        <w:t xml:space="preserve">, rischia di produrre ingiustificabili differenze tra aree del Paese. Tanto più che in molti casi la differenza in termini territoriali, di abitanti, di produzione del PIL tra Città metropolitana e Provincia è del tutto inconsistente, e quando presente è spesso a vantaggio delle Province. </w:t>
      </w:r>
    </w:p>
    <w:p w14:paraId="1347BD17" w14:textId="58EBF915" w:rsidR="004D7100" w:rsidRPr="00C01014" w:rsidRDefault="00D54B63" w:rsidP="00A90A03">
      <w:pPr>
        <w:jc w:val="both"/>
        <w:rPr>
          <w:rFonts w:eastAsia="Times New Roman" w:cstheme="minorHAnsi"/>
          <w:sz w:val="26"/>
          <w:szCs w:val="26"/>
          <w:lang w:eastAsia="it-IT"/>
        </w:rPr>
      </w:pPr>
      <w:r w:rsidRPr="00C01014">
        <w:rPr>
          <w:rFonts w:eastAsia="Times New Roman" w:cstheme="minorHAnsi"/>
          <w:sz w:val="26"/>
          <w:szCs w:val="26"/>
          <w:lang w:eastAsia="it-IT"/>
        </w:rPr>
        <w:t xml:space="preserve">Occorre dunque </w:t>
      </w:r>
      <w:r w:rsidRPr="00537AEE">
        <w:rPr>
          <w:rFonts w:eastAsia="Times New Roman" w:cstheme="minorHAnsi"/>
          <w:sz w:val="26"/>
          <w:szCs w:val="26"/>
          <w:u w:val="single"/>
          <w:lang w:eastAsia="it-IT"/>
        </w:rPr>
        <w:t>assegnare anche alle Province la funzione di pianificazione strategica</w:t>
      </w:r>
      <w:r w:rsidRPr="00C01014">
        <w:rPr>
          <w:rFonts w:eastAsia="Times New Roman" w:cstheme="minorHAnsi"/>
          <w:sz w:val="26"/>
          <w:szCs w:val="26"/>
          <w:lang w:eastAsia="it-IT"/>
        </w:rPr>
        <w:t xml:space="preserve">, </w:t>
      </w:r>
      <w:r w:rsidR="004D7100" w:rsidRPr="00C01014">
        <w:rPr>
          <w:rFonts w:eastAsia="Times New Roman" w:cstheme="minorHAnsi"/>
          <w:sz w:val="26"/>
          <w:szCs w:val="26"/>
          <w:lang w:eastAsia="it-IT"/>
        </w:rPr>
        <w:t xml:space="preserve">per </w:t>
      </w:r>
      <w:r w:rsidRPr="00C01014">
        <w:rPr>
          <w:rFonts w:eastAsia="Times New Roman" w:cstheme="minorHAnsi"/>
          <w:sz w:val="26"/>
          <w:szCs w:val="26"/>
          <w:lang w:eastAsia="it-IT"/>
        </w:rPr>
        <w:t xml:space="preserve">consentire di </w:t>
      </w:r>
      <w:r w:rsidR="004D7100" w:rsidRPr="00C01014">
        <w:rPr>
          <w:rFonts w:eastAsia="Times New Roman" w:cstheme="minorHAnsi"/>
          <w:sz w:val="26"/>
          <w:szCs w:val="26"/>
          <w:lang w:eastAsia="it-IT"/>
        </w:rPr>
        <w:t>elaborare su</w:t>
      </w:r>
      <w:r w:rsidRPr="00C01014">
        <w:rPr>
          <w:rFonts w:eastAsia="Times New Roman" w:cstheme="minorHAnsi"/>
          <w:sz w:val="26"/>
          <w:szCs w:val="26"/>
          <w:lang w:eastAsia="it-IT"/>
        </w:rPr>
        <w:t xml:space="preserve"> tutto il </w:t>
      </w:r>
      <w:r w:rsidR="004D7100" w:rsidRPr="00C01014">
        <w:rPr>
          <w:rFonts w:eastAsia="Times New Roman" w:cstheme="minorHAnsi"/>
          <w:sz w:val="26"/>
          <w:szCs w:val="26"/>
          <w:lang w:eastAsia="it-IT"/>
        </w:rPr>
        <w:t xml:space="preserve">territorio proposte di </w:t>
      </w:r>
      <w:r w:rsidRPr="00C01014">
        <w:rPr>
          <w:rFonts w:eastAsia="Times New Roman" w:cstheme="minorHAnsi"/>
          <w:sz w:val="26"/>
          <w:szCs w:val="26"/>
          <w:lang w:eastAsia="it-IT"/>
        </w:rPr>
        <w:t>rilancio</w:t>
      </w:r>
      <w:r w:rsidR="004D7100" w:rsidRPr="00C01014">
        <w:rPr>
          <w:rFonts w:eastAsia="Times New Roman" w:cstheme="minorHAnsi"/>
          <w:sz w:val="26"/>
          <w:szCs w:val="26"/>
          <w:lang w:eastAsia="it-IT"/>
        </w:rPr>
        <w:t xml:space="preserve"> economico in raccordo con Regioni e Camere di Commercio</w:t>
      </w:r>
      <w:r w:rsidRPr="00C01014">
        <w:rPr>
          <w:rFonts w:eastAsia="Times New Roman" w:cstheme="minorHAnsi"/>
          <w:sz w:val="26"/>
          <w:szCs w:val="26"/>
          <w:lang w:eastAsia="it-IT"/>
        </w:rPr>
        <w:t xml:space="preserve"> e con il coinvolgimento delle parti sociali. Questo permetterebbe al Governo di potere disporre di </w:t>
      </w:r>
      <w:proofErr w:type="gramStart"/>
      <w:r w:rsidRPr="00C01014">
        <w:rPr>
          <w:rFonts w:eastAsia="Times New Roman" w:cstheme="minorHAnsi"/>
          <w:sz w:val="26"/>
          <w:szCs w:val="26"/>
          <w:lang w:eastAsia="it-IT"/>
        </w:rPr>
        <w:t>100</w:t>
      </w:r>
      <w:proofErr w:type="gramEnd"/>
      <w:r w:rsidRPr="00C01014">
        <w:rPr>
          <w:rFonts w:eastAsia="Times New Roman" w:cstheme="minorHAnsi"/>
          <w:sz w:val="26"/>
          <w:szCs w:val="26"/>
          <w:lang w:eastAsia="it-IT"/>
        </w:rPr>
        <w:t xml:space="preserve"> piani di rilancio industriale, fortemente legati al territorio, sostenuti da tutti gli attori interessati e quindi di impatto immediato. </w:t>
      </w:r>
    </w:p>
    <w:p w14:paraId="214275FB" w14:textId="77777777" w:rsidR="00D54B63" w:rsidRPr="00C01014" w:rsidRDefault="00D54B63" w:rsidP="00D54B63">
      <w:pPr>
        <w:rPr>
          <w:rFonts w:eastAsia="Times New Roman" w:cstheme="minorHAnsi"/>
          <w:sz w:val="26"/>
          <w:szCs w:val="26"/>
          <w:lang w:eastAsia="it-IT"/>
        </w:rPr>
      </w:pPr>
    </w:p>
    <w:p w14:paraId="099DFE60" w14:textId="76CBCBE3" w:rsidR="00705956" w:rsidRPr="00C01014" w:rsidRDefault="00D54B63" w:rsidP="00D54B63">
      <w:pPr>
        <w:jc w:val="center"/>
        <w:rPr>
          <w:rFonts w:eastAsia="Times New Roman" w:cstheme="minorHAnsi"/>
          <w:b/>
          <w:bCs/>
          <w:sz w:val="26"/>
          <w:szCs w:val="26"/>
          <w:lang w:eastAsia="it-IT"/>
        </w:rPr>
      </w:pPr>
      <w:r w:rsidRPr="00C01014">
        <w:rPr>
          <w:rFonts w:eastAsia="Times New Roman" w:cstheme="minorHAnsi"/>
          <w:b/>
          <w:bCs/>
          <w:sz w:val="26"/>
          <w:szCs w:val="26"/>
          <w:lang w:eastAsia="it-IT"/>
        </w:rPr>
        <w:t xml:space="preserve">Azione </w:t>
      </w:r>
      <w:r w:rsidR="00F04542">
        <w:rPr>
          <w:rFonts w:eastAsia="Times New Roman" w:cstheme="minorHAnsi"/>
          <w:b/>
          <w:bCs/>
          <w:sz w:val="26"/>
          <w:szCs w:val="26"/>
          <w:lang w:eastAsia="it-IT"/>
        </w:rPr>
        <w:t>4</w:t>
      </w:r>
      <w:r w:rsidRPr="00C01014">
        <w:rPr>
          <w:rFonts w:eastAsia="Times New Roman" w:cstheme="minorHAnsi"/>
          <w:b/>
          <w:bCs/>
          <w:sz w:val="26"/>
          <w:szCs w:val="26"/>
          <w:lang w:eastAsia="it-IT"/>
        </w:rPr>
        <w:t>: Lo Sviluppo Sostenibile</w:t>
      </w:r>
    </w:p>
    <w:p w14:paraId="53B22D0F" w14:textId="3E906159" w:rsidR="00A90A03" w:rsidRPr="00C01014" w:rsidRDefault="00D54B63" w:rsidP="00D14926">
      <w:pPr>
        <w:jc w:val="both"/>
        <w:rPr>
          <w:rFonts w:eastAsia="Times New Roman" w:cstheme="minorHAnsi"/>
          <w:sz w:val="26"/>
          <w:szCs w:val="26"/>
          <w:lang w:eastAsia="it-IT"/>
        </w:rPr>
      </w:pPr>
      <w:r w:rsidRPr="00C01014">
        <w:rPr>
          <w:rFonts w:eastAsia="Times New Roman" w:cstheme="minorHAnsi"/>
          <w:sz w:val="26"/>
          <w:szCs w:val="26"/>
          <w:lang w:eastAsia="it-IT"/>
        </w:rPr>
        <w:t xml:space="preserve">Ogni azione fin qui elencata </w:t>
      </w:r>
      <w:r w:rsidR="00A90A03" w:rsidRPr="00C01014">
        <w:rPr>
          <w:rFonts w:eastAsia="Times New Roman" w:cstheme="minorHAnsi"/>
          <w:sz w:val="26"/>
          <w:szCs w:val="26"/>
          <w:lang w:eastAsia="it-IT"/>
        </w:rPr>
        <w:t>trova pieno adempimento nella promozione dello sviluppo sostenibile, della difesa del territorio, della promozione del digitale.</w:t>
      </w:r>
    </w:p>
    <w:p w14:paraId="590FFC3A" w14:textId="259E57E2" w:rsidR="00A90A03" w:rsidRPr="00C01014" w:rsidRDefault="00A90A03" w:rsidP="00D14926">
      <w:pPr>
        <w:jc w:val="both"/>
        <w:rPr>
          <w:rFonts w:eastAsia="Times New Roman" w:cstheme="minorHAnsi"/>
          <w:sz w:val="26"/>
          <w:szCs w:val="26"/>
          <w:lang w:eastAsia="it-IT"/>
        </w:rPr>
      </w:pPr>
      <w:r w:rsidRPr="00C01014">
        <w:rPr>
          <w:rFonts w:eastAsia="Times New Roman" w:cstheme="minorHAnsi"/>
          <w:sz w:val="26"/>
          <w:szCs w:val="26"/>
          <w:lang w:eastAsia="it-IT"/>
        </w:rPr>
        <w:t>Così, il Piano per le scuole superiori dovrà indicare quali priorit</w:t>
      </w:r>
      <w:r w:rsidR="00537AEE">
        <w:rPr>
          <w:rFonts w:eastAsia="Times New Roman" w:cstheme="minorHAnsi"/>
          <w:sz w:val="26"/>
          <w:szCs w:val="26"/>
          <w:lang w:eastAsia="it-IT"/>
        </w:rPr>
        <w:t>ari</w:t>
      </w:r>
      <w:r w:rsidRPr="00C01014">
        <w:rPr>
          <w:rFonts w:eastAsia="Times New Roman" w:cstheme="minorHAnsi"/>
          <w:sz w:val="26"/>
          <w:szCs w:val="26"/>
          <w:lang w:eastAsia="it-IT"/>
        </w:rPr>
        <w:t xml:space="preserve"> tutti gli investimenti per il contrasto della dispersione energetica</w:t>
      </w:r>
      <w:r w:rsidR="00537AEE">
        <w:rPr>
          <w:rFonts w:eastAsia="Times New Roman" w:cstheme="minorHAnsi"/>
          <w:sz w:val="26"/>
          <w:szCs w:val="26"/>
          <w:lang w:eastAsia="it-IT"/>
        </w:rPr>
        <w:t xml:space="preserve">, </w:t>
      </w:r>
      <w:r w:rsidRPr="00C01014">
        <w:rPr>
          <w:rFonts w:eastAsia="Times New Roman" w:cstheme="minorHAnsi"/>
          <w:sz w:val="26"/>
          <w:szCs w:val="26"/>
          <w:lang w:eastAsia="it-IT"/>
        </w:rPr>
        <w:t xml:space="preserve">per la promozione delle energie sostenibili e per la digitalizzazione delle scuole. Attraverso queste risorse lo Stato dovrà rispondere alla generazione del </w:t>
      </w:r>
      <w:proofErr w:type="spellStart"/>
      <w:r w:rsidRPr="00C01014">
        <w:rPr>
          <w:rFonts w:eastAsia="Times New Roman" w:cstheme="minorHAnsi"/>
          <w:sz w:val="26"/>
          <w:szCs w:val="26"/>
          <w:lang w:eastAsia="it-IT"/>
        </w:rPr>
        <w:t>Friday</w:t>
      </w:r>
      <w:proofErr w:type="spellEnd"/>
      <w:r w:rsidRPr="00C01014">
        <w:rPr>
          <w:rFonts w:eastAsia="Times New Roman" w:cstheme="minorHAnsi"/>
          <w:sz w:val="26"/>
          <w:szCs w:val="26"/>
          <w:lang w:eastAsia="it-IT"/>
        </w:rPr>
        <w:t xml:space="preserve"> for Future.</w:t>
      </w:r>
    </w:p>
    <w:p w14:paraId="134CD904" w14:textId="325530E5" w:rsidR="00A90A03" w:rsidRPr="00C01014" w:rsidRDefault="00537AEE" w:rsidP="00D14926">
      <w:pPr>
        <w:jc w:val="both"/>
        <w:rPr>
          <w:rFonts w:eastAsia="Times New Roman" w:cstheme="minorHAnsi"/>
          <w:sz w:val="26"/>
          <w:szCs w:val="26"/>
          <w:lang w:eastAsia="it-IT"/>
        </w:rPr>
      </w:pPr>
      <w:r>
        <w:rPr>
          <w:rFonts w:eastAsia="Times New Roman" w:cstheme="minorHAnsi"/>
          <w:sz w:val="26"/>
          <w:szCs w:val="26"/>
          <w:lang w:eastAsia="it-IT"/>
        </w:rPr>
        <w:t>Per la stessa ragione, i</w:t>
      </w:r>
      <w:r w:rsidR="00A90A03" w:rsidRPr="00C01014">
        <w:rPr>
          <w:rFonts w:eastAsia="Times New Roman" w:cstheme="minorHAnsi"/>
          <w:sz w:val="26"/>
          <w:szCs w:val="26"/>
          <w:lang w:eastAsia="it-IT"/>
        </w:rPr>
        <w:t xml:space="preserve">l Piano per le infrastrutture viarie dovrà essere affiancato da una </w:t>
      </w:r>
      <w:r w:rsidR="00A90A03" w:rsidRPr="00537AEE">
        <w:rPr>
          <w:rFonts w:eastAsia="Times New Roman" w:cstheme="minorHAnsi"/>
          <w:sz w:val="26"/>
          <w:szCs w:val="26"/>
          <w:u w:val="single"/>
          <w:lang w:eastAsia="it-IT"/>
        </w:rPr>
        <w:t>grande opera di contrasto al dissesto idrogeologico</w:t>
      </w:r>
      <w:r w:rsidR="00A90A03" w:rsidRPr="00C01014">
        <w:rPr>
          <w:rFonts w:eastAsia="Times New Roman" w:cstheme="minorHAnsi"/>
          <w:sz w:val="26"/>
          <w:szCs w:val="26"/>
          <w:lang w:eastAsia="it-IT"/>
        </w:rPr>
        <w:t xml:space="preserve">. </w:t>
      </w:r>
    </w:p>
    <w:p w14:paraId="58D19F7B" w14:textId="77777777" w:rsidR="00C763D6" w:rsidRPr="00C01014" w:rsidRDefault="00C763D6" w:rsidP="00C763D6">
      <w:pPr>
        <w:jc w:val="both"/>
        <w:rPr>
          <w:rFonts w:eastAsia="Times New Roman" w:cstheme="minorHAnsi"/>
          <w:b/>
          <w:bCs/>
          <w:sz w:val="26"/>
          <w:szCs w:val="26"/>
          <w:u w:val="single"/>
          <w:lang w:eastAsia="it-IT"/>
        </w:rPr>
      </w:pPr>
      <w:r w:rsidRPr="00C01014">
        <w:rPr>
          <w:rFonts w:eastAsia="Times New Roman" w:cstheme="minorHAnsi"/>
          <w:b/>
          <w:bCs/>
          <w:sz w:val="26"/>
          <w:szCs w:val="26"/>
          <w:u w:val="single"/>
          <w:lang w:eastAsia="it-IT"/>
        </w:rPr>
        <w:t>LA RICHIESTA DELL’UNIONE DELLE PROVINCE D’ITALIA</w:t>
      </w:r>
    </w:p>
    <w:p w14:paraId="7C5C2173" w14:textId="66E7C0F5" w:rsidR="00D14926" w:rsidRPr="00D14926" w:rsidRDefault="00A90A03" w:rsidP="00D14926">
      <w:pPr>
        <w:jc w:val="both"/>
        <w:rPr>
          <w:rFonts w:eastAsia="Times New Roman" w:cstheme="minorHAnsi"/>
          <w:sz w:val="26"/>
          <w:szCs w:val="26"/>
          <w:lang w:eastAsia="it-IT"/>
        </w:rPr>
      </w:pPr>
      <w:bookmarkStart w:id="0" w:name="_Hlk43124796"/>
      <w:r w:rsidRPr="00537AEE">
        <w:rPr>
          <w:rFonts w:eastAsia="Times New Roman" w:cstheme="minorHAnsi"/>
          <w:sz w:val="26"/>
          <w:szCs w:val="26"/>
          <w:u w:val="single"/>
          <w:lang w:eastAsia="it-IT"/>
        </w:rPr>
        <w:t>Affidare alle Province</w:t>
      </w:r>
      <w:r w:rsidR="00D14926" w:rsidRPr="00537AEE">
        <w:rPr>
          <w:rFonts w:eastAsia="Times New Roman" w:cstheme="minorHAnsi"/>
          <w:sz w:val="26"/>
          <w:szCs w:val="26"/>
          <w:u w:val="single"/>
          <w:lang w:eastAsia="it-IT"/>
        </w:rPr>
        <w:t xml:space="preserve"> e alle Città metropolitane il coordinamento di </w:t>
      </w:r>
      <w:r w:rsidR="00D54B63" w:rsidRPr="00537AEE">
        <w:rPr>
          <w:rFonts w:eastAsia="Times New Roman" w:cstheme="minorHAnsi"/>
          <w:sz w:val="26"/>
          <w:szCs w:val="26"/>
          <w:u w:val="single"/>
          <w:lang w:eastAsia="it-IT"/>
        </w:rPr>
        <w:t xml:space="preserve">Piani </w:t>
      </w:r>
      <w:r w:rsidR="00D14926" w:rsidRPr="00537AEE">
        <w:rPr>
          <w:rFonts w:eastAsia="Times New Roman" w:cstheme="minorHAnsi"/>
          <w:sz w:val="26"/>
          <w:szCs w:val="26"/>
          <w:u w:val="single"/>
          <w:lang w:eastAsia="it-IT"/>
        </w:rPr>
        <w:t xml:space="preserve">Territoriali </w:t>
      </w:r>
      <w:r w:rsidR="00D54B63" w:rsidRPr="00537AEE">
        <w:rPr>
          <w:rFonts w:eastAsia="Times New Roman" w:cstheme="minorHAnsi"/>
          <w:sz w:val="26"/>
          <w:szCs w:val="26"/>
          <w:u w:val="single"/>
          <w:lang w:eastAsia="it-IT"/>
        </w:rPr>
        <w:t>di Sviluppo Sostenibile 2030</w:t>
      </w:r>
      <w:r w:rsidRPr="00C01014">
        <w:rPr>
          <w:rFonts w:eastAsia="Times New Roman" w:cstheme="minorHAnsi"/>
          <w:sz w:val="26"/>
          <w:szCs w:val="26"/>
          <w:lang w:eastAsia="it-IT"/>
        </w:rPr>
        <w:t xml:space="preserve">, </w:t>
      </w:r>
      <w:r w:rsidR="00D14926">
        <w:rPr>
          <w:rFonts w:eastAsia="Times New Roman" w:cstheme="minorHAnsi"/>
          <w:sz w:val="26"/>
          <w:szCs w:val="26"/>
          <w:lang w:eastAsia="it-IT"/>
        </w:rPr>
        <w:t xml:space="preserve">affinché con il coinvolgimento di Comuni, Prefetture, Camere di commercio e parti sociali </w:t>
      </w:r>
      <w:r w:rsidRPr="00C01014">
        <w:rPr>
          <w:rFonts w:eastAsia="Times New Roman" w:cstheme="minorHAnsi"/>
          <w:sz w:val="26"/>
          <w:szCs w:val="26"/>
          <w:lang w:eastAsia="it-IT"/>
        </w:rPr>
        <w:t xml:space="preserve">si possa </w:t>
      </w:r>
      <w:r w:rsidR="00D14926" w:rsidRPr="00D14926">
        <w:rPr>
          <w:rFonts w:eastAsia="Times New Roman" w:cstheme="minorHAnsi"/>
          <w:sz w:val="26"/>
          <w:szCs w:val="26"/>
          <w:lang w:eastAsia="it-IT"/>
        </w:rPr>
        <w:t>programma</w:t>
      </w:r>
      <w:r w:rsidR="00D14926">
        <w:rPr>
          <w:rFonts w:eastAsia="Times New Roman" w:cstheme="minorHAnsi"/>
          <w:sz w:val="26"/>
          <w:szCs w:val="26"/>
          <w:lang w:eastAsia="it-IT"/>
        </w:rPr>
        <w:t>re</w:t>
      </w:r>
      <w:r w:rsidR="00D14926" w:rsidRPr="00D14926">
        <w:rPr>
          <w:rFonts w:eastAsia="Times New Roman" w:cstheme="minorHAnsi"/>
          <w:sz w:val="26"/>
          <w:szCs w:val="26"/>
          <w:lang w:eastAsia="it-IT"/>
        </w:rPr>
        <w:t xml:space="preserve"> lo sviluppo </w:t>
      </w:r>
      <w:r w:rsidR="00D14926">
        <w:rPr>
          <w:rFonts w:eastAsia="Times New Roman" w:cstheme="minorHAnsi"/>
          <w:sz w:val="26"/>
          <w:szCs w:val="26"/>
          <w:lang w:eastAsia="it-IT"/>
        </w:rPr>
        <w:t xml:space="preserve">e </w:t>
      </w:r>
      <w:r w:rsidR="00D14926" w:rsidRPr="00D14926">
        <w:rPr>
          <w:rFonts w:eastAsia="Times New Roman" w:cstheme="minorHAnsi"/>
          <w:sz w:val="26"/>
          <w:szCs w:val="26"/>
          <w:lang w:eastAsia="it-IT"/>
        </w:rPr>
        <w:t>assicurare alle forze economiche e sociali, alle comunità e ai territori, un raccordo saldo con Regione, Stato ed Unione Europea, così da promuovere l’utilizzo più efficiente di tutte le opportunità.</w:t>
      </w:r>
    </w:p>
    <w:bookmarkEnd w:id="0"/>
    <w:p w14:paraId="1B0896D8" w14:textId="6BEE56F9" w:rsidR="00A90A03" w:rsidRPr="00C01014" w:rsidRDefault="00A90A03" w:rsidP="00A90A03">
      <w:pPr>
        <w:jc w:val="center"/>
        <w:rPr>
          <w:rFonts w:eastAsia="Times New Roman" w:cstheme="minorHAnsi"/>
          <w:b/>
          <w:bCs/>
          <w:sz w:val="26"/>
          <w:szCs w:val="26"/>
          <w:lang w:eastAsia="it-IT"/>
        </w:rPr>
      </w:pPr>
      <w:r w:rsidRPr="00C01014">
        <w:rPr>
          <w:rFonts w:eastAsia="Times New Roman" w:cstheme="minorHAnsi"/>
          <w:b/>
          <w:bCs/>
          <w:sz w:val="26"/>
          <w:szCs w:val="26"/>
          <w:lang w:eastAsia="it-IT"/>
        </w:rPr>
        <w:lastRenderedPageBreak/>
        <w:t>LA CORNICE ISTITUZIONALE</w:t>
      </w:r>
    </w:p>
    <w:p w14:paraId="318B915C" w14:textId="1D2E0113" w:rsidR="00A90A03" w:rsidRPr="00C01014" w:rsidRDefault="00A90A03" w:rsidP="00A90A03">
      <w:pPr>
        <w:jc w:val="both"/>
        <w:rPr>
          <w:rFonts w:eastAsia="Times New Roman" w:cstheme="minorHAnsi"/>
          <w:sz w:val="26"/>
          <w:szCs w:val="26"/>
          <w:lang w:eastAsia="it-IT"/>
        </w:rPr>
      </w:pPr>
      <w:r w:rsidRPr="00C01014">
        <w:rPr>
          <w:rFonts w:eastAsia="Times New Roman" w:cstheme="minorHAnsi"/>
          <w:sz w:val="26"/>
          <w:szCs w:val="26"/>
          <w:lang w:eastAsia="it-IT"/>
        </w:rPr>
        <w:t xml:space="preserve">Progettare la ripresa significa anche progettare il sistema istituzionale entro cui la strategia </w:t>
      </w:r>
      <w:r w:rsidR="00A7650C" w:rsidRPr="00C01014">
        <w:rPr>
          <w:rFonts w:eastAsia="Times New Roman" w:cstheme="minorHAnsi"/>
          <w:sz w:val="26"/>
          <w:szCs w:val="26"/>
          <w:lang w:eastAsia="it-IT"/>
        </w:rPr>
        <w:t>di sviluppo sarà dispiegata.</w:t>
      </w:r>
    </w:p>
    <w:p w14:paraId="477B8F37" w14:textId="142C9CC0" w:rsidR="00A90A03" w:rsidRPr="00C01014" w:rsidRDefault="00A7650C" w:rsidP="00A90A03">
      <w:pPr>
        <w:spacing w:after="120"/>
        <w:jc w:val="both"/>
        <w:rPr>
          <w:rFonts w:cstheme="minorHAnsi"/>
          <w:color w:val="000000" w:themeColor="text1"/>
          <w:sz w:val="26"/>
          <w:szCs w:val="26"/>
        </w:rPr>
      </w:pPr>
      <w:bookmarkStart w:id="1" w:name="_Hlk43125021"/>
      <w:r w:rsidRPr="00C01014">
        <w:rPr>
          <w:rFonts w:cstheme="minorHAnsi"/>
          <w:color w:val="000000" w:themeColor="text1"/>
          <w:sz w:val="26"/>
          <w:szCs w:val="26"/>
        </w:rPr>
        <w:t xml:space="preserve">A 5 anni dalla legge 56/14 che ha fortemente limitato la capacità delle </w:t>
      </w:r>
      <w:r w:rsidR="00F04542">
        <w:rPr>
          <w:rFonts w:cstheme="minorHAnsi"/>
          <w:color w:val="000000" w:themeColor="text1"/>
          <w:sz w:val="26"/>
          <w:szCs w:val="26"/>
        </w:rPr>
        <w:t>Province e delle Città metropolitane</w:t>
      </w:r>
      <w:r w:rsidRPr="00C01014">
        <w:rPr>
          <w:rFonts w:cstheme="minorHAnsi"/>
          <w:color w:val="000000" w:themeColor="text1"/>
          <w:sz w:val="26"/>
          <w:szCs w:val="26"/>
        </w:rPr>
        <w:t xml:space="preserve"> di amministrare con efficacia i territori, </w:t>
      </w:r>
      <w:r w:rsidR="00A90A03" w:rsidRPr="00C01014">
        <w:rPr>
          <w:rFonts w:cstheme="minorHAnsi"/>
          <w:color w:val="000000" w:themeColor="text1"/>
          <w:sz w:val="26"/>
          <w:szCs w:val="26"/>
        </w:rPr>
        <w:t xml:space="preserve">è necessario ed urgente intervenire sul piano istituzionale, organizzativo ed economico, per tornare a garantire la piena funzionalità </w:t>
      </w:r>
      <w:r w:rsidR="00F04542">
        <w:rPr>
          <w:rFonts w:cstheme="minorHAnsi"/>
          <w:color w:val="000000" w:themeColor="text1"/>
          <w:sz w:val="26"/>
          <w:szCs w:val="26"/>
        </w:rPr>
        <w:t>a tutte le istituzioni della Repubblica.</w:t>
      </w:r>
      <w:r w:rsidR="00A90A03" w:rsidRPr="00C01014">
        <w:rPr>
          <w:rFonts w:cstheme="minorHAnsi"/>
          <w:color w:val="000000" w:themeColor="text1"/>
          <w:sz w:val="26"/>
          <w:szCs w:val="26"/>
        </w:rPr>
        <w:t xml:space="preserve"> </w:t>
      </w:r>
    </w:p>
    <w:bookmarkEnd w:id="1"/>
    <w:p w14:paraId="5507C1BA" w14:textId="77777777" w:rsidR="00F04542" w:rsidRDefault="00F04542" w:rsidP="00A90A03">
      <w:pPr>
        <w:spacing w:after="120"/>
        <w:jc w:val="both"/>
        <w:rPr>
          <w:rFonts w:cstheme="minorHAnsi"/>
          <w:color w:val="000000" w:themeColor="text1"/>
          <w:sz w:val="26"/>
          <w:szCs w:val="26"/>
        </w:rPr>
      </w:pPr>
      <w:r>
        <w:rPr>
          <w:rFonts w:cstheme="minorHAnsi"/>
          <w:color w:val="000000" w:themeColor="text1"/>
          <w:sz w:val="26"/>
          <w:szCs w:val="26"/>
        </w:rPr>
        <w:t>Province e Città metropolitane d</w:t>
      </w:r>
      <w:r w:rsidR="00A7650C" w:rsidRPr="00C01014">
        <w:rPr>
          <w:rFonts w:cstheme="minorHAnsi"/>
          <w:color w:val="000000" w:themeColor="text1"/>
          <w:sz w:val="26"/>
          <w:szCs w:val="26"/>
        </w:rPr>
        <w:t xml:space="preserve">evono, allo stesso modo, </w:t>
      </w:r>
      <w:r w:rsidR="00A90A03" w:rsidRPr="00C01014">
        <w:rPr>
          <w:rFonts w:cstheme="minorHAnsi"/>
          <w:color w:val="000000" w:themeColor="text1"/>
          <w:sz w:val="26"/>
          <w:szCs w:val="26"/>
        </w:rPr>
        <w:t xml:space="preserve">essere nelle condizioni di erogare i servizi loro affidati, potendo contare su: </w:t>
      </w:r>
    </w:p>
    <w:p w14:paraId="1A13275F" w14:textId="77777777" w:rsidR="00F04542" w:rsidRDefault="00A90A03" w:rsidP="00F04542">
      <w:pPr>
        <w:pStyle w:val="Paragrafoelenco"/>
        <w:numPr>
          <w:ilvl w:val="0"/>
          <w:numId w:val="3"/>
        </w:numPr>
        <w:spacing w:after="120"/>
        <w:jc w:val="both"/>
        <w:rPr>
          <w:rFonts w:cstheme="minorHAnsi"/>
          <w:color w:val="000000" w:themeColor="text1"/>
          <w:sz w:val="26"/>
          <w:szCs w:val="26"/>
        </w:rPr>
      </w:pPr>
      <w:r w:rsidRPr="00F04542">
        <w:rPr>
          <w:rFonts w:cstheme="minorHAnsi"/>
          <w:color w:val="000000" w:themeColor="text1"/>
          <w:sz w:val="26"/>
          <w:szCs w:val="26"/>
        </w:rPr>
        <w:t xml:space="preserve">funzioni fondamentali di area vasta ben definite; </w:t>
      </w:r>
    </w:p>
    <w:p w14:paraId="2B7214C1" w14:textId="77777777" w:rsidR="00F04542" w:rsidRDefault="00A90A03" w:rsidP="00F04542">
      <w:pPr>
        <w:pStyle w:val="Paragrafoelenco"/>
        <w:numPr>
          <w:ilvl w:val="0"/>
          <w:numId w:val="3"/>
        </w:numPr>
        <w:spacing w:after="120"/>
        <w:jc w:val="both"/>
        <w:rPr>
          <w:rFonts w:cstheme="minorHAnsi"/>
          <w:color w:val="000000" w:themeColor="text1"/>
          <w:sz w:val="26"/>
          <w:szCs w:val="26"/>
        </w:rPr>
      </w:pPr>
      <w:r w:rsidRPr="00F04542">
        <w:rPr>
          <w:rFonts w:cstheme="minorHAnsi"/>
          <w:color w:val="000000" w:themeColor="text1"/>
          <w:sz w:val="26"/>
          <w:szCs w:val="26"/>
        </w:rPr>
        <w:t xml:space="preserve">una organizzazione dell’ente e del personale tale da permettere la piena funzionalità della macchina amministrativa; </w:t>
      </w:r>
    </w:p>
    <w:p w14:paraId="6A4E5136" w14:textId="77777777" w:rsidR="00F04542" w:rsidRDefault="00A90A03" w:rsidP="00F04542">
      <w:pPr>
        <w:pStyle w:val="Paragrafoelenco"/>
        <w:numPr>
          <w:ilvl w:val="0"/>
          <w:numId w:val="3"/>
        </w:numPr>
        <w:spacing w:after="120"/>
        <w:jc w:val="both"/>
        <w:rPr>
          <w:rFonts w:cstheme="minorHAnsi"/>
          <w:color w:val="000000" w:themeColor="text1"/>
          <w:sz w:val="26"/>
          <w:szCs w:val="26"/>
        </w:rPr>
      </w:pPr>
      <w:r w:rsidRPr="00F04542">
        <w:rPr>
          <w:rFonts w:cstheme="minorHAnsi"/>
          <w:color w:val="000000" w:themeColor="text1"/>
          <w:sz w:val="26"/>
          <w:szCs w:val="26"/>
        </w:rPr>
        <w:t xml:space="preserve">una autonomia finanziaria tale da assicurare le risorse necessarie alla copertura delle spese per le loro funzioni; </w:t>
      </w:r>
    </w:p>
    <w:p w14:paraId="1F0F125B" w14:textId="5292F1AD" w:rsidR="00A90A03" w:rsidRPr="00F04542" w:rsidRDefault="00A90A03" w:rsidP="00F04542">
      <w:pPr>
        <w:pStyle w:val="Paragrafoelenco"/>
        <w:numPr>
          <w:ilvl w:val="0"/>
          <w:numId w:val="3"/>
        </w:numPr>
        <w:spacing w:after="120"/>
        <w:jc w:val="both"/>
        <w:rPr>
          <w:rFonts w:cstheme="minorHAnsi"/>
          <w:color w:val="000000" w:themeColor="text1"/>
          <w:sz w:val="26"/>
          <w:szCs w:val="26"/>
        </w:rPr>
      </w:pPr>
      <w:r w:rsidRPr="00F04542">
        <w:rPr>
          <w:rFonts w:cstheme="minorHAnsi"/>
          <w:color w:val="000000" w:themeColor="text1"/>
          <w:sz w:val="26"/>
          <w:szCs w:val="26"/>
        </w:rPr>
        <w:t xml:space="preserve">organi politici pienamente riconosciuti che garantiscano un governo certo agli enti e ai territori. </w:t>
      </w:r>
    </w:p>
    <w:p w14:paraId="5F2827F0" w14:textId="287E328A" w:rsidR="00810148" w:rsidRDefault="00810148" w:rsidP="00810148">
      <w:pPr>
        <w:ind w:left="360"/>
        <w:jc w:val="both"/>
        <w:rPr>
          <w:rFonts w:eastAsia="Times New Roman" w:cstheme="minorHAnsi"/>
          <w:b/>
          <w:bCs/>
          <w:sz w:val="26"/>
          <w:szCs w:val="26"/>
          <w:u w:val="single"/>
          <w:lang w:eastAsia="it-IT"/>
        </w:rPr>
      </w:pPr>
      <w:r w:rsidRPr="00810148">
        <w:rPr>
          <w:rFonts w:eastAsia="Times New Roman" w:cstheme="minorHAnsi"/>
          <w:b/>
          <w:bCs/>
          <w:sz w:val="26"/>
          <w:szCs w:val="26"/>
          <w:u w:val="single"/>
          <w:lang w:eastAsia="it-IT"/>
        </w:rPr>
        <w:t>LA RICHIESTA DELL’UNIONE DELLE PROVINCE D’ITALIA</w:t>
      </w:r>
    </w:p>
    <w:p w14:paraId="32A063B1" w14:textId="77777777" w:rsidR="00810148" w:rsidRPr="00BB6AB3" w:rsidRDefault="00810148" w:rsidP="00810148">
      <w:pPr>
        <w:spacing w:after="120"/>
        <w:jc w:val="both"/>
        <w:rPr>
          <w:rFonts w:cstheme="minorHAnsi"/>
          <w:color w:val="000000" w:themeColor="text1"/>
          <w:sz w:val="26"/>
          <w:szCs w:val="26"/>
        </w:rPr>
      </w:pPr>
      <w:r w:rsidRPr="00BB6AB3">
        <w:rPr>
          <w:rFonts w:cstheme="minorHAnsi"/>
          <w:color w:val="000000" w:themeColor="text1"/>
          <w:sz w:val="26"/>
          <w:szCs w:val="26"/>
        </w:rPr>
        <w:t>Relativamente al riordino della disciplina degli enti locali il Governo ha previsto, nel Documento programmatico di bilancio 2020 inviato alle istituzioni europee, tra le misure per migliorare l’efficacia della pubblica amministrazione, “un disegno di legge di revisione del Testo Unico degli Enti Locali (TUEL)” che è stato inserito tra i collegati alla legge di bilancio 2020.</w:t>
      </w:r>
    </w:p>
    <w:p w14:paraId="4E1D59C3" w14:textId="77777777" w:rsidR="00810148" w:rsidRDefault="00810148" w:rsidP="00810148">
      <w:pPr>
        <w:spacing w:after="120"/>
        <w:jc w:val="both"/>
        <w:rPr>
          <w:rFonts w:cstheme="minorHAnsi"/>
          <w:color w:val="000000" w:themeColor="text1"/>
          <w:sz w:val="26"/>
          <w:szCs w:val="26"/>
        </w:rPr>
      </w:pPr>
      <w:r>
        <w:rPr>
          <w:rFonts w:cstheme="minorHAnsi"/>
          <w:color w:val="000000" w:themeColor="text1"/>
          <w:sz w:val="26"/>
          <w:szCs w:val="26"/>
        </w:rPr>
        <w:t xml:space="preserve">Occorre ora riprendere quest’impegno per </w:t>
      </w:r>
      <w:r w:rsidRPr="00BB6AB3">
        <w:rPr>
          <w:rFonts w:cstheme="minorHAnsi"/>
          <w:color w:val="000000" w:themeColor="text1"/>
          <w:sz w:val="26"/>
          <w:szCs w:val="26"/>
        </w:rPr>
        <w:t xml:space="preserve">procedere ad una revisione immediata delle disposizioni della legge 56/14 attraverso una modifica delle norme del TUEL che riguardano le Province e le Città metropolitane, tenendo conto dell’evoluzione dell’assetto istituzionale degli enti locali, per dare una prospettiva di certezza </w:t>
      </w:r>
      <w:r>
        <w:rPr>
          <w:rFonts w:cstheme="minorHAnsi"/>
          <w:color w:val="000000" w:themeColor="text1"/>
          <w:sz w:val="26"/>
          <w:szCs w:val="26"/>
        </w:rPr>
        <w:t xml:space="preserve">a tutte le </w:t>
      </w:r>
      <w:r w:rsidRPr="00BB6AB3">
        <w:rPr>
          <w:rFonts w:cstheme="minorHAnsi"/>
          <w:color w:val="000000" w:themeColor="text1"/>
          <w:sz w:val="26"/>
          <w:szCs w:val="26"/>
        </w:rPr>
        <w:t>istituzioni costitutive della Repubblica</w:t>
      </w:r>
      <w:r>
        <w:rPr>
          <w:rFonts w:cstheme="minorHAnsi"/>
          <w:color w:val="000000" w:themeColor="text1"/>
          <w:sz w:val="26"/>
          <w:szCs w:val="26"/>
        </w:rPr>
        <w:t>, ai cittadini, alle imprese, alle formazioni sociali.</w:t>
      </w:r>
    </w:p>
    <w:p w14:paraId="0C65A610" w14:textId="77777777" w:rsidR="00810148" w:rsidRPr="00810148" w:rsidRDefault="00810148" w:rsidP="00810148">
      <w:pPr>
        <w:ind w:left="360"/>
        <w:jc w:val="both"/>
        <w:rPr>
          <w:rFonts w:eastAsia="Times New Roman" w:cstheme="minorHAnsi"/>
          <w:b/>
          <w:bCs/>
          <w:sz w:val="26"/>
          <w:szCs w:val="26"/>
          <w:u w:val="single"/>
          <w:lang w:eastAsia="it-IT"/>
        </w:rPr>
      </w:pPr>
    </w:p>
    <w:p w14:paraId="4DF04C85" w14:textId="16B47937" w:rsidR="00AE23DA" w:rsidRPr="00C01014" w:rsidRDefault="00AE23DA" w:rsidP="00A872E4">
      <w:pPr>
        <w:jc w:val="both"/>
        <w:rPr>
          <w:rFonts w:eastAsia="Times New Roman" w:cstheme="minorHAnsi"/>
          <w:sz w:val="26"/>
          <w:szCs w:val="26"/>
          <w:lang w:eastAsia="it-IT"/>
        </w:rPr>
      </w:pPr>
    </w:p>
    <w:p w14:paraId="249ADFDD" w14:textId="77777777" w:rsidR="00AE23DA" w:rsidRPr="00C01014" w:rsidRDefault="00AE23DA" w:rsidP="00A872E4">
      <w:pPr>
        <w:jc w:val="both"/>
        <w:rPr>
          <w:rFonts w:eastAsia="Times New Roman" w:cstheme="minorHAnsi"/>
          <w:sz w:val="26"/>
          <w:szCs w:val="26"/>
          <w:lang w:eastAsia="it-IT"/>
        </w:rPr>
      </w:pPr>
    </w:p>
    <w:p w14:paraId="7BC769DD" w14:textId="77777777" w:rsidR="00A872E4" w:rsidRPr="00C01014" w:rsidRDefault="00A872E4" w:rsidP="00A872E4">
      <w:pPr>
        <w:jc w:val="both"/>
        <w:rPr>
          <w:rFonts w:cstheme="minorHAnsi"/>
          <w:sz w:val="26"/>
          <w:szCs w:val="26"/>
        </w:rPr>
      </w:pPr>
    </w:p>
    <w:p w14:paraId="56C33ADF" w14:textId="1AB659ED" w:rsidR="00A872E4" w:rsidRPr="00C01014" w:rsidRDefault="00A872E4" w:rsidP="00A872E4">
      <w:pPr>
        <w:jc w:val="both"/>
        <w:rPr>
          <w:rFonts w:cstheme="minorHAnsi"/>
          <w:sz w:val="26"/>
          <w:szCs w:val="26"/>
        </w:rPr>
      </w:pPr>
    </w:p>
    <w:p w14:paraId="60A49590" w14:textId="77777777" w:rsidR="00A872E4" w:rsidRPr="00C01014" w:rsidRDefault="00A872E4" w:rsidP="00A872E4">
      <w:pPr>
        <w:jc w:val="both"/>
        <w:rPr>
          <w:rFonts w:cstheme="minorHAnsi"/>
          <w:sz w:val="26"/>
          <w:szCs w:val="26"/>
        </w:rPr>
      </w:pPr>
    </w:p>
    <w:sectPr w:rsidR="00A872E4" w:rsidRPr="00C010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5033"/>
    <w:multiLevelType w:val="hybridMultilevel"/>
    <w:tmpl w:val="BDC85462"/>
    <w:lvl w:ilvl="0" w:tplc="99D282EA">
      <w:start w:val="1"/>
      <w:numFmt w:val="decimal"/>
      <w:lvlText w:val="%1)"/>
      <w:lvlJc w:val="left"/>
      <w:pPr>
        <w:ind w:left="360" w:hanging="360"/>
      </w:pPr>
      <w:rPr>
        <w:rFonts w:hint="default"/>
        <w:b w:val="0"/>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2E4B2B"/>
    <w:multiLevelType w:val="hybridMultilevel"/>
    <w:tmpl w:val="A072DD00"/>
    <w:lvl w:ilvl="0" w:tplc="AD80743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E84211A"/>
    <w:multiLevelType w:val="hybridMultilevel"/>
    <w:tmpl w:val="884C3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7C4722"/>
    <w:multiLevelType w:val="hybridMultilevel"/>
    <w:tmpl w:val="7640E2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32BE9"/>
    <w:multiLevelType w:val="hybridMultilevel"/>
    <w:tmpl w:val="E7C4D31A"/>
    <w:lvl w:ilvl="0" w:tplc="73C49BF8">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E250CE"/>
    <w:multiLevelType w:val="multilevel"/>
    <w:tmpl w:val="7B90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25C76"/>
    <w:multiLevelType w:val="hybridMultilevel"/>
    <w:tmpl w:val="139C90C2"/>
    <w:lvl w:ilvl="0" w:tplc="F17E13A8">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7B031A"/>
    <w:multiLevelType w:val="hybridMultilevel"/>
    <w:tmpl w:val="B87E3F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DC2840"/>
    <w:multiLevelType w:val="hybridMultilevel"/>
    <w:tmpl w:val="15C20006"/>
    <w:lvl w:ilvl="0" w:tplc="CC72E77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7D1615DF"/>
    <w:multiLevelType w:val="hybridMultilevel"/>
    <w:tmpl w:val="1B6EAF0E"/>
    <w:lvl w:ilvl="0" w:tplc="8D4C40A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3"/>
  </w:num>
  <w:num w:numId="5">
    <w:abstractNumId w:val="4"/>
  </w:num>
  <w:num w:numId="6">
    <w:abstractNumId w:val="1"/>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E4"/>
    <w:rsid w:val="00006499"/>
    <w:rsid w:val="0003483E"/>
    <w:rsid w:val="00190DDF"/>
    <w:rsid w:val="001C4608"/>
    <w:rsid w:val="002828E5"/>
    <w:rsid w:val="003048F1"/>
    <w:rsid w:val="003722B4"/>
    <w:rsid w:val="00406D63"/>
    <w:rsid w:val="00431F38"/>
    <w:rsid w:val="004C690A"/>
    <w:rsid w:val="004D7100"/>
    <w:rsid w:val="00537AEE"/>
    <w:rsid w:val="00566D0E"/>
    <w:rsid w:val="00590966"/>
    <w:rsid w:val="00605246"/>
    <w:rsid w:val="00705956"/>
    <w:rsid w:val="00737F7D"/>
    <w:rsid w:val="00810148"/>
    <w:rsid w:val="008B7F7E"/>
    <w:rsid w:val="009472FD"/>
    <w:rsid w:val="00A7650C"/>
    <w:rsid w:val="00A872E4"/>
    <w:rsid w:val="00A90A03"/>
    <w:rsid w:val="00AE23DA"/>
    <w:rsid w:val="00BC4252"/>
    <w:rsid w:val="00BD34C7"/>
    <w:rsid w:val="00C01014"/>
    <w:rsid w:val="00C50008"/>
    <w:rsid w:val="00C763D6"/>
    <w:rsid w:val="00CD2111"/>
    <w:rsid w:val="00D14926"/>
    <w:rsid w:val="00D54B63"/>
    <w:rsid w:val="00DD5D6B"/>
    <w:rsid w:val="00F04542"/>
    <w:rsid w:val="00F12EA5"/>
    <w:rsid w:val="00F81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B4F0"/>
  <w15:chartTrackingRefBased/>
  <w15:docId w15:val="{4E14A402-AF02-4F1A-BA86-18A2A4AC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A872E4"/>
    <w:pPr>
      <w:ind w:left="720"/>
      <w:contextualSpacing/>
    </w:pPr>
  </w:style>
  <w:style w:type="character" w:styleId="Enfasicorsivo">
    <w:name w:val="Emphasis"/>
    <w:basedOn w:val="Carpredefinitoparagrafo"/>
    <w:uiPriority w:val="20"/>
    <w:qFormat/>
    <w:rsid w:val="00590966"/>
    <w:rPr>
      <w:i/>
      <w:iCs/>
    </w:rPr>
  </w:style>
  <w:style w:type="paragraph" w:styleId="NormaleWeb">
    <w:name w:val="Normal (Web)"/>
    <w:basedOn w:val="Normale"/>
    <w:uiPriority w:val="99"/>
    <w:semiHidden/>
    <w:unhideWhenUsed/>
    <w:rsid w:val="005909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90966"/>
    <w:rPr>
      <w:b/>
      <w:bCs/>
    </w:rPr>
  </w:style>
  <w:style w:type="character" w:customStyle="1" w:styleId="ParagrafoelencoCarattere">
    <w:name w:val="Paragrafo elenco Carattere"/>
    <w:link w:val="Paragrafoelenco"/>
    <w:uiPriority w:val="34"/>
    <w:qFormat/>
    <w:locked/>
    <w:rsid w:val="00006499"/>
  </w:style>
  <w:style w:type="paragraph" w:customStyle="1" w:styleId="n-zicg">
    <w:name w:val="n-zicg"/>
    <w:basedOn w:val="Normale"/>
    <w:rsid w:val="00BD34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DD5D6B"/>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F045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40727">
      <w:bodyDiv w:val="1"/>
      <w:marLeft w:val="0"/>
      <w:marRight w:val="0"/>
      <w:marTop w:val="0"/>
      <w:marBottom w:val="0"/>
      <w:divBdr>
        <w:top w:val="none" w:sz="0" w:space="0" w:color="auto"/>
        <w:left w:val="none" w:sz="0" w:space="0" w:color="auto"/>
        <w:bottom w:val="none" w:sz="0" w:space="0" w:color="auto"/>
        <w:right w:val="none" w:sz="0" w:space="0" w:color="auto"/>
      </w:divBdr>
    </w:div>
    <w:div w:id="1599176126">
      <w:bodyDiv w:val="1"/>
      <w:marLeft w:val="0"/>
      <w:marRight w:val="0"/>
      <w:marTop w:val="0"/>
      <w:marBottom w:val="0"/>
      <w:divBdr>
        <w:top w:val="none" w:sz="0" w:space="0" w:color="auto"/>
        <w:left w:val="none" w:sz="0" w:space="0" w:color="auto"/>
        <w:bottom w:val="none" w:sz="0" w:space="0" w:color="auto"/>
        <w:right w:val="none" w:sz="0" w:space="0" w:color="auto"/>
      </w:divBdr>
    </w:div>
    <w:div w:id="20936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F4F3-56BD-413D-B04F-E430E50A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2194</Words>
  <Characters>12507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De Fortuna</dc:creator>
  <cp:keywords/>
  <dc:description/>
  <cp:lastModifiedBy>Barbara Perluigi</cp:lastModifiedBy>
  <cp:revision>2</cp:revision>
  <cp:lastPrinted>2020-06-15T09:27:00Z</cp:lastPrinted>
  <dcterms:created xsi:type="dcterms:W3CDTF">2020-06-15T13:05:00Z</dcterms:created>
  <dcterms:modified xsi:type="dcterms:W3CDTF">2020-06-15T13:05:00Z</dcterms:modified>
</cp:coreProperties>
</file>