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1726C" w14:textId="7C4728FA" w:rsidR="00767661" w:rsidRPr="00386E86" w:rsidRDefault="00615155" w:rsidP="002E2838">
      <w:pPr>
        <w:pStyle w:val="Stile1"/>
        <w:spacing w:after="600"/>
        <w:rPr>
          <w:rFonts w:cs="Arial"/>
        </w:rPr>
      </w:pPr>
      <w:r w:rsidRPr="00386E86">
        <w:rPr>
          <w:rFonts w:cs="Arial"/>
        </w:rPr>
        <w:t xml:space="preserve">Allegato </w:t>
      </w:r>
      <w:r w:rsidR="00D71254" w:rsidRPr="00386E86">
        <w:rPr>
          <w:rFonts w:cs="Arial"/>
        </w:rPr>
        <w:t>2</w:t>
      </w:r>
      <w:r w:rsidR="002E2838" w:rsidRPr="00386E86">
        <w:rPr>
          <w:rFonts w:cs="Arial"/>
        </w:rPr>
        <w:t xml:space="preserve"> </w:t>
      </w:r>
      <w:r w:rsidR="009B6A95" w:rsidRPr="00386E86">
        <w:rPr>
          <w:rFonts w:cs="Arial"/>
        </w:rPr>
        <w:t>-</w:t>
      </w:r>
      <w:r w:rsidR="002E2838" w:rsidRPr="00386E86">
        <w:rPr>
          <w:rFonts w:cs="Arial"/>
        </w:rPr>
        <w:t xml:space="preserve"> </w:t>
      </w:r>
      <w:r w:rsidR="009B6A95" w:rsidRPr="00386E86">
        <w:rPr>
          <w:rFonts w:cs="Arial"/>
        </w:rPr>
        <w:t>Ambito dell</w:t>
      </w:r>
      <w:r w:rsidR="002E2838" w:rsidRPr="00386E86">
        <w:rPr>
          <w:rFonts w:cs="Arial"/>
        </w:rPr>
        <w:t xml:space="preserve">e attività di supporto </w:t>
      </w:r>
      <w:r w:rsidR="009B6A95" w:rsidRPr="00386E86">
        <w:rPr>
          <w:rFonts w:cs="Arial"/>
        </w:rPr>
        <w:t>di CDP alle</w:t>
      </w:r>
      <w:r w:rsidR="00BD1C2C" w:rsidRPr="00386E86">
        <w:rPr>
          <w:rFonts w:cs="Arial"/>
        </w:rPr>
        <w:t xml:space="preserve"> A</w:t>
      </w:r>
      <w:r w:rsidR="009B6A95" w:rsidRPr="00386E86">
        <w:rPr>
          <w:rFonts w:cs="Arial"/>
        </w:rPr>
        <w:t>mministrazioni</w:t>
      </w:r>
      <w:r w:rsidR="009C2234">
        <w:rPr>
          <w:rFonts w:cs="Arial"/>
        </w:rPr>
        <w:t xml:space="preserve"> (Province)</w:t>
      </w:r>
    </w:p>
    <w:p w14:paraId="1E3C9BC6" w14:textId="5BDD2607" w:rsidR="000D3D7D" w:rsidRPr="00386E86" w:rsidRDefault="000D3D7D" w:rsidP="00A610D6">
      <w:pPr>
        <w:pStyle w:val="Corpotesto"/>
        <w:spacing w:after="120" w:line="360" w:lineRule="auto"/>
        <w:jc w:val="both"/>
        <w:rPr>
          <w:rFonts w:ascii="Arial" w:hAnsi="Arial" w:cs="Arial"/>
          <w:sz w:val="20"/>
          <w:szCs w:val="20"/>
        </w:rPr>
      </w:pPr>
      <w:r w:rsidRPr="00386E86">
        <w:rPr>
          <w:rFonts w:ascii="Arial" w:hAnsi="Arial" w:cs="Arial"/>
          <w:sz w:val="20"/>
          <w:szCs w:val="20"/>
        </w:rPr>
        <w:t xml:space="preserve">In linea con quanto previsto dal Piano Industriale 2019-2021, CDP, attraverso la nuova unità dedicata di Sviluppo Infrastrutture, supporta la PA con un servizio di consulenza su misura e gratuito, per accelerare la realizzazione delle infrastrutture ed ottimizzare le modalità di intervento. I termini e le modalità di supporto dell’attività di consulenza di CDP </w:t>
      </w:r>
      <w:r w:rsidR="009C2234">
        <w:rPr>
          <w:rFonts w:ascii="Arial" w:hAnsi="Arial" w:cs="Arial"/>
          <w:sz w:val="20"/>
          <w:szCs w:val="20"/>
        </w:rPr>
        <w:t>agli Enti</w:t>
      </w:r>
      <w:r w:rsidRPr="00386E86">
        <w:rPr>
          <w:rFonts w:ascii="Arial" w:hAnsi="Arial" w:cs="Arial"/>
          <w:sz w:val="20"/>
          <w:szCs w:val="20"/>
        </w:rPr>
        <w:t xml:space="preserve"> vengono disciplinati da specifici </w:t>
      </w:r>
      <w:r w:rsidR="009C2234">
        <w:rPr>
          <w:rFonts w:ascii="Arial" w:hAnsi="Arial" w:cs="Arial"/>
          <w:sz w:val="20"/>
          <w:szCs w:val="20"/>
        </w:rPr>
        <w:t>P</w:t>
      </w:r>
      <w:r w:rsidRPr="00386E86">
        <w:rPr>
          <w:rFonts w:ascii="Arial" w:hAnsi="Arial" w:cs="Arial"/>
          <w:sz w:val="20"/>
          <w:szCs w:val="20"/>
        </w:rPr>
        <w:t>rotocolli d’intesa</w:t>
      </w:r>
      <w:r w:rsidR="009C2234">
        <w:rPr>
          <w:rFonts w:ascii="Arial" w:hAnsi="Arial" w:cs="Arial"/>
          <w:sz w:val="20"/>
          <w:szCs w:val="20"/>
        </w:rPr>
        <w:t>.</w:t>
      </w:r>
    </w:p>
    <w:p w14:paraId="6D6D2D2B" w14:textId="7A03D3D9" w:rsidR="00B83C86" w:rsidRPr="00386E86" w:rsidRDefault="000D3D7D" w:rsidP="00A610D6">
      <w:pPr>
        <w:pStyle w:val="Corpotesto"/>
        <w:spacing w:after="120" w:line="360" w:lineRule="auto"/>
        <w:jc w:val="both"/>
        <w:rPr>
          <w:rFonts w:ascii="Arial" w:hAnsi="Arial" w:cs="Arial"/>
          <w:sz w:val="20"/>
          <w:szCs w:val="20"/>
        </w:rPr>
      </w:pPr>
      <w:r w:rsidRPr="00386E86">
        <w:rPr>
          <w:rFonts w:ascii="Arial" w:hAnsi="Arial" w:cs="Arial"/>
          <w:sz w:val="20"/>
          <w:szCs w:val="20"/>
        </w:rPr>
        <w:t xml:space="preserve">La nuova unità di Sviluppo Infrastrutture nasce dall’esigenza di ampliare le modalità classiche di intervento di CDP sul territorio, integrando il sostegno finanziario con quello tecnico, per essere un affidabile partner delle Amministrazioni durante l’intero ciclo di sviluppo </w:t>
      </w:r>
      <w:r w:rsidR="009C2234">
        <w:rPr>
          <w:rFonts w:ascii="Arial" w:hAnsi="Arial" w:cs="Arial"/>
          <w:sz w:val="20"/>
          <w:szCs w:val="20"/>
        </w:rPr>
        <w:t>dei progetti</w:t>
      </w:r>
      <w:r w:rsidRPr="00386E86">
        <w:rPr>
          <w:rFonts w:ascii="Arial" w:hAnsi="Arial" w:cs="Arial"/>
          <w:sz w:val="20"/>
          <w:szCs w:val="20"/>
        </w:rPr>
        <w:t xml:space="preserve"> (infrastrutture di edilizia sociale e direzionale, mobilità e trasporti, ambiente acqua e rifiuti).</w:t>
      </w:r>
    </w:p>
    <w:p w14:paraId="106AACA1" w14:textId="77777777" w:rsidR="00615155" w:rsidRPr="00386E86" w:rsidRDefault="00615155" w:rsidP="00615155">
      <w:pPr>
        <w:keepNext/>
        <w:jc w:val="center"/>
        <w:rPr>
          <w:rFonts w:ascii="Arial" w:hAnsi="Arial" w:cs="Arial"/>
          <w:sz w:val="20"/>
          <w:szCs w:val="20"/>
        </w:rPr>
      </w:pPr>
      <w:r w:rsidRPr="00386E86">
        <w:rPr>
          <w:rFonts w:ascii="Arial" w:hAnsi="Arial" w:cs="Arial"/>
          <w:noProof/>
          <w:sz w:val="20"/>
          <w:szCs w:val="20"/>
        </w:rPr>
        <w:drawing>
          <wp:inline distT="0" distB="0" distL="0" distR="0" wp14:anchorId="5CAB6688" wp14:editId="2763236C">
            <wp:extent cx="6170825" cy="2967603"/>
            <wp:effectExtent l="0" t="0" r="1905"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1597"/>
                    <a:stretch/>
                  </pic:blipFill>
                  <pic:spPr bwMode="auto">
                    <a:xfrm>
                      <a:off x="0" y="0"/>
                      <a:ext cx="6206244" cy="2984636"/>
                    </a:xfrm>
                    <a:prstGeom prst="rect">
                      <a:avLst/>
                    </a:prstGeom>
                    <a:ln>
                      <a:noFill/>
                    </a:ln>
                    <a:extLst>
                      <a:ext uri="{53640926-AAD7-44D8-BBD7-CCE9431645EC}">
                        <a14:shadowObscured xmlns:a14="http://schemas.microsoft.com/office/drawing/2010/main"/>
                      </a:ext>
                    </a:extLst>
                  </pic:spPr>
                </pic:pic>
              </a:graphicData>
            </a:graphic>
          </wp:inline>
        </w:drawing>
      </w:r>
    </w:p>
    <w:p w14:paraId="676D6671" w14:textId="27FA74D5" w:rsidR="00615155" w:rsidRPr="00386E86" w:rsidRDefault="00615155" w:rsidP="00615155">
      <w:pPr>
        <w:pStyle w:val="Didascalia"/>
        <w:jc w:val="center"/>
        <w:rPr>
          <w:rFonts w:ascii="Arial" w:hAnsi="Arial" w:cs="Arial"/>
          <w:sz w:val="20"/>
          <w:szCs w:val="20"/>
        </w:rPr>
      </w:pPr>
      <w:r w:rsidRPr="00386E86">
        <w:rPr>
          <w:rFonts w:ascii="Arial" w:hAnsi="Arial" w:cs="Arial"/>
          <w:sz w:val="20"/>
          <w:szCs w:val="20"/>
        </w:rPr>
        <w:t xml:space="preserve">Figura </w:t>
      </w:r>
      <w:r w:rsidR="00F85E56" w:rsidRPr="00386E86">
        <w:rPr>
          <w:rFonts w:ascii="Arial" w:hAnsi="Arial" w:cs="Arial"/>
          <w:sz w:val="20"/>
          <w:szCs w:val="20"/>
        </w:rPr>
        <w:fldChar w:fldCharType="begin"/>
      </w:r>
      <w:r w:rsidR="00F85E56" w:rsidRPr="00386E86">
        <w:rPr>
          <w:rFonts w:ascii="Arial" w:hAnsi="Arial" w:cs="Arial"/>
          <w:sz w:val="20"/>
          <w:szCs w:val="20"/>
        </w:rPr>
        <w:instrText xml:space="preserve"> SEQ Figura \* ARABIC </w:instrText>
      </w:r>
      <w:r w:rsidR="00F85E56" w:rsidRPr="00386E86">
        <w:rPr>
          <w:rFonts w:ascii="Arial" w:hAnsi="Arial" w:cs="Arial"/>
          <w:sz w:val="20"/>
          <w:szCs w:val="20"/>
        </w:rPr>
        <w:fldChar w:fldCharType="separate"/>
      </w:r>
      <w:r w:rsidR="00A610D6" w:rsidRPr="00386E86">
        <w:rPr>
          <w:rFonts w:ascii="Arial" w:hAnsi="Arial" w:cs="Arial"/>
          <w:noProof/>
          <w:sz w:val="20"/>
          <w:szCs w:val="20"/>
        </w:rPr>
        <w:t>1</w:t>
      </w:r>
      <w:r w:rsidR="00F85E56" w:rsidRPr="00386E86">
        <w:rPr>
          <w:rFonts w:ascii="Arial" w:hAnsi="Arial" w:cs="Arial"/>
          <w:noProof/>
          <w:sz w:val="20"/>
          <w:szCs w:val="20"/>
        </w:rPr>
        <w:fldChar w:fldCharType="end"/>
      </w:r>
      <w:r w:rsidRPr="00386E86">
        <w:rPr>
          <w:rFonts w:ascii="Arial" w:hAnsi="Arial" w:cs="Arial"/>
          <w:sz w:val="20"/>
          <w:szCs w:val="20"/>
        </w:rPr>
        <w:t xml:space="preserve"> - Modello di advisory di CDP alla PA</w:t>
      </w:r>
    </w:p>
    <w:p w14:paraId="6AFFE19A" w14:textId="7B2172CB" w:rsidR="00615155" w:rsidRPr="00386E86" w:rsidRDefault="00615155" w:rsidP="00A610D6">
      <w:pPr>
        <w:pStyle w:val="Corpotesto"/>
        <w:spacing w:after="120" w:line="360" w:lineRule="auto"/>
        <w:jc w:val="both"/>
        <w:rPr>
          <w:rFonts w:ascii="Arial" w:hAnsi="Arial" w:cs="Arial"/>
          <w:sz w:val="20"/>
          <w:szCs w:val="20"/>
        </w:rPr>
      </w:pPr>
      <w:proofErr w:type="gramStart"/>
      <w:r w:rsidRPr="00386E86">
        <w:rPr>
          <w:rFonts w:ascii="Arial" w:hAnsi="Arial" w:cs="Arial"/>
          <w:sz w:val="20"/>
          <w:szCs w:val="20"/>
        </w:rPr>
        <w:t>Un team dedicato</w:t>
      </w:r>
      <w:proofErr w:type="gramEnd"/>
      <w:r w:rsidRPr="00386E86">
        <w:rPr>
          <w:rFonts w:ascii="Arial" w:hAnsi="Arial" w:cs="Arial"/>
          <w:sz w:val="20"/>
          <w:szCs w:val="20"/>
        </w:rPr>
        <w:t xml:space="preserve">, in collaborazione con eventuali consulenti </w:t>
      </w:r>
      <w:r w:rsidR="009C2234" w:rsidRPr="00386E86">
        <w:rPr>
          <w:rFonts w:ascii="Arial" w:hAnsi="Arial" w:cs="Arial"/>
          <w:sz w:val="20"/>
          <w:szCs w:val="20"/>
        </w:rPr>
        <w:t>esterni, affianca</w:t>
      </w:r>
      <w:r w:rsidRPr="00386E86">
        <w:rPr>
          <w:rFonts w:ascii="Arial" w:hAnsi="Arial" w:cs="Arial"/>
          <w:sz w:val="20"/>
          <w:szCs w:val="20"/>
        </w:rPr>
        <w:t xml:space="preserve"> l’Ente in tutte le fasi di programmazione, progettazione e costruzione delle opere infrastrutturali realizzate mediante Appalto Tradizionale e Partenariato Pubblico-Privato (PPP), con un servizio di consulenza tecnico-amministrativa ed economico-finanziaria.</w:t>
      </w:r>
    </w:p>
    <w:p w14:paraId="0A6907E9" w14:textId="21581B6F" w:rsidR="000A2501" w:rsidRPr="00386E86" w:rsidRDefault="000A2501" w:rsidP="00A610D6">
      <w:pPr>
        <w:pStyle w:val="Corpotesto"/>
        <w:spacing w:after="120" w:line="360" w:lineRule="auto"/>
        <w:jc w:val="both"/>
        <w:rPr>
          <w:rFonts w:ascii="Arial" w:hAnsi="Arial" w:cs="Arial"/>
          <w:sz w:val="20"/>
          <w:szCs w:val="20"/>
        </w:rPr>
      </w:pPr>
      <w:r w:rsidRPr="00386E86">
        <w:rPr>
          <w:rFonts w:ascii="Arial" w:hAnsi="Arial" w:cs="Arial"/>
          <w:sz w:val="20"/>
          <w:szCs w:val="20"/>
        </w:rPr>
        <w:t xml:space="preserve">In particolare, a titolo esemplificativo e non esaustivo, </w:t>
      </w:r>
      <w:r w:rsidR="009C2234">
        <w:rPr>
          <w:rFonts w:ascii="Arial" w:hAnsi="Arial" w:cs="Arial"/>
          <w:sz w:val="20"/>
          <w:szCs w:val="20"/>
        </w:rPr>
        <w:t>le Province selezionate e CDP firmeranno Protocolli per mezzo dei quali potranno essere svolte da CDP le seguenti attività</w:t>
      </w:r>
      <w:r w:rsidRPr="00386E86">
        <w:rPr>
          <w:rFonts w:ascii="Arial" w:hAnsi="Arial" w:cs="Arial"/>
          <w:sz w:val="20"/>
          <w:szCs w:val="20"/>
        </w:rPr>
        <w:t>:</w:t>
      </w:r>
    </w:p>
    <w:p w14:paraId="7A613A6D" w14:textId="77777777" w:rsidR="000A2501" w:rsidRPr="00386E86" w:rsidRDefault="000A2501" w:rsidP="00A610D6">
      <w:pPr>
        <w:pStyle w:val="Corpotesto"/>
        <w:spacing w:after="120" w:line="360" w:lineRule="auto"/>
        <w:jc w:val="both"/>
        <w:rPr>
          <w:rFonts w:ascii="Arial" w:hAnsi="Arial" w:cs="Arial"/>
          <w:b/>
          <w:bCs/>
          <w:sz w:val="20"/>
          <w:szCs w:val="20"/>
        </w:rPr>
      </w:pPr>
      <w:r w:rsidRPr="00386E86">
        <w:rPr>
          <w:rFonts w:ascii="Arial" w:hAnsi="Arial" w:cs="Arial"/>
          <w:b/>
          <w:bCs/>
          <w:sz w:val="20"/>
          <w:szCs w:val="20"/>
        </w:rPr>
        <w:t>Fase I – Programmazione</w:t>
      </w:r>
    </w:p>
    <w:p w14:paraId="7F0B5E0E" w14:textId="77777777" w:rsidR="000A2501" w:rsidRPr="00386E86" w:rsidRDefault="000A2501" w:rsidP="00A610D6">
      <w:pPr>
        <w:pStyle w:val="Corpotesto"/>
        <w:numPr>
          <w:ilvl w:val="0"/>
          <w:numId w:val="4"/>
        </w:numPr>
        <w:spacing w:after="120" w:line="360" w:lineRule="auto"/>
        <w:jc w:val="both"/>
        <w:rPr>
          <w:rFonts w:ascii="Arial" w:hAnsi="Arial" w:cs="Arial"/>
          <w:sz w:val="20"/>
          <w:szCs w:val="20"/>
        </w:rPr>
      </w:pPr>
      <w:bookmarkStart w:id="0" w:name="_Hlk50716349"/>
      <w:r w:rsidRPr="00386E86">
        <w:rPr>
          <w:rFonts w:ascii="Arial" w:hAnsi="Arial" w:cs="Arial"/>
          <w:sz w:val="20"/>
          <w:szCs w:val="20"/>
        </w:rPr>
        <w:t xml:space="preserve">incontri con rappresentanti dell’Amministrazione e di CDP per analisi del programma dei Progetti e definizione delle attività da svolgere per i Progetti con identificazione di obiettivi temporali; </w:t>
      </w:r>
    </w:p>
    <w:p w14:paraId="72244607" w14:textId="08524DF5" w:rsidR="000A2501" w:rsidRPr="00386E86" w:rsidRDefault="000A2501" w:rsidP="00A610D6">
      <w:pPr>
        <w:pStyle w:val="Corpotesto"/>
        <w:numPr>
          <w:ilvl w:val="0"/>
          <w:numId w:val="4"/>
        </w:numPr>
        <w:spacing w:after="120" w:line="360" w:lineRule="auto"/>
        <w:jc w:val="both"/>
        <w:rPr>
          <w:rFonts w:ascii="Arial" w:hAnsi="Arial" w:cs="Arial"/>
          <w:sz w:val="20"/>
          <w:szCs w:val="20"/>
        </w:rPr>
      </w:pPr>
      <w:bookmarkStart w:id="1" w:name="_Hlk49875353"/>
      <w:r w:rsidRPr="00386E86">
        <w:rPr>
          <w:rFonts w:ascii="Arial" w:hAnsi="Arial" w:cs="Arial"/>
          <w:sz w:val="20"/>
          <w:szCs w:val="20"/>
        </w:rPr>
        <w:t>supporto nella definizione e nel monitoraggio di un cronoprogramma per le principali attività da svolgere con l’identificazione di obiettivi temporali, della struttura operativa dell’Amministrazione e della metodologia di gestione delle attività</w:t>
      </w:r>
      <w:bookmarkEnd w:id="1"/>
      <w:r w:rsidRPr="00386E86">
        <w:rPr>
          <w:rFonts w:ascii="Arial" w:hAnsi="Arial" w:cs="Arial"/>
          <w:sz w:val="20"/>
          <w:szCs w:val="20"/>
        </w:rPr>
        <w:t>;</w:t>
      </w:r>
    </w:p>
    <w:p w14:paraId="749F7FFD" w14:textId="77777777" w:rsidR="000A2501" w:rsidRPr="00386E86" w:rsidRDefault="000A2501" w:rsidP="00A610D6">
      <w:pPr>
        <w:pStyle w:val="Corpotesto"/>
        <w:numPr>
          <w:ilvl w:val="0"/>
          <w:numId w:val="4"/>
        </w:numPr>
        <w:spacing w:after="120" w:line="360" w:lineRule="auto"/>
        <w:jc w:val="both"/>
        <w:rPr>
          <w:rFonts w:ascii="Arial" w:hAnsi="Arial" w:cs="Arial"/>
          <w:sz w:val="20"/>
          <w:szCs w:val="20"/>
        </w:rPr>
      </w:pPr>
      <w:r w:rsidRPr="00386E86">
        <w:rPr>
          <w:rFonts w:ascii="Arial" w:hAnsi="Arial" w:cs="Arial"/>
          <w:sz w:val="20"/>
          <w:szCs w:val="20"/>
        </w:rPr>
        <w:lastRenderedPageBreak/>
        <w:t>supporto nell’individuazione delle più idonee modalità di realizzazione dei Progetti;</w:t>
      </w:r>
    </w:p>
    <w:p w14:paraId="25FDFA15" w14:textId="6D054579" w:rsidR="000A2501" w:rsidRPr="00386E86" w:rsidRDefault="000A2501" w:rsidP="00A610D6">
      <w:pPr>
        <w:pStyle w:val="Corpotesto"/>
        <w:numPr>
          <w:ilvl w:val="0"/>
          <w:numId w:val="4"/>
        </w:numPr>
        <w:spacing w:after="120" w:line="360" w:lineRule="auto"/>
        <w:jc w:val="both"/>
        <w:rPr>
          <w:rFonts w:ascii="Arial" w:hAnsi="Arial" w:cs="Arial"/>
          <w:sz w:val="20"/>
          <w:szCs w:val="20"/>
        </w:rPr>
      </w:pPr>
      <w:r w:rsidRPr="00386E86">
        <w:rPr>
          <w:rFonts w:ascii="Arial" w:hAnsi="Arial" w:cs="Arial"/>
          <w:sz w:val="20"/>
          <w:szCs w:val="20"/>
        </w:rPr>
        <w:t>supporto nella definizione del quadro economico dei Progetti</w:t>
      </w:r>
      <w:r w:rsidR="009C2234">
        <w:rPr>
          <w:rFonts w:ascii="Arial" w:hAnsi="Arial" w:cs="Arial"/>
          <w:sz w:val="20"/>
          <w:szCs w:val="20"/>
        </w:rPr>
        <w:t xml:space="preserve"> e delle fonti di finanziamento</w:t>
      </w:r>
      <w:r w:rsidRPr="00386E86">
        <w:rPr>
          <w:rFonts w:ascii="Arial" w:hAnsi="Arial" w:cs="Arial"/>
          <w:sz w:val="20"/>
          <w:szCs w:val="20"/>
        </w:rPr>
        <w:t>;</w:t>
      </w:r>
    </w:p>
    <w:p w14:paraId="1B6FC422" w14:textId="77777777" w:rsidR="000A2501" w:rsidRPr="00386E86" w:rsidRDefault="000A2501" w:rsidP="00A610D6">
      <w:pPr>
        <w:pStyle w:val="Corpotesto"/>
        <w:numPr>
          <w:ilvl w:val="0"/>
          <w:numId w:val="4"/>
        </w:numPr>
        <w:spacing w:after="120" w:line="360" w:lineRule="auto"/>
        <w:jc w:val="both"/>
        <w:rPr>
          <w:rFonts w:ascii="Arial" w:hAnsi="Arial" w:cs="Arial"/>
          <w:sz w:val="20"/>
          <w:szCs w:val="20"/>
        </w:rPr>
      </w:pPr>
      <w:r w:rsidRPr="00386E86">
        <w:rPr>
          <w:rFonts w:ascii="Arial" w:hAnsi="Arial" w:cs="Arial"/>
          <w:sz w:val="20"/>
          <w:szCs w:val="20"/>
        </w:rPr>
        <w:t>in caso di ricorso al PPP, supporto nella strutturazione dei Progetti e nella predisposizione di un Piano Economico Finanziario per analisi preliminari di fattibilità, sostenibilità (“</w:t>
      </w:r>
      <w:proofErr w:type="spellStart"/>
      <w:r w:rsidRPr="00386E86">
        <w:rPr>
          <w:rFonts w:ascii="Arial" w:hAnsi="Arial" w:cs="Arial"/>
          <w:sz w:val="20"/>
          <w:szCs w:val="20"/>
        </w:rPr>
        <w:t>affordability</w:t>
      </w:r>
      <w:proofErr w:type="spellEnd"/>
      <w:r w:rsidRPr="00386E86">
        <w:rPr>
          <w:rFonts w:ascii="Arial" w:hAnsi="Arial" w:cs="Arial"/>
          <w:sz w:val="20"/>
          <w:szCs w:val="20"/>
        </w:rPr>
        <w:t>”) e convenienza (“</w:t>
      </w:r>
      <w:proofErr w:type="spellStart"/>
      <w:r w:rsidRPr="00386E86">
        <w:rPr>
          <w:rFonts w:ascii="Arial" w:hAnsi="Arial" w:cs="Arial"/>
          <w:sz w:val="20"/>
          <w:szCs w:val="20"/>
        </w:rPr>
        <w:t>value</w:t>
      </w:r>
      <w:proofErr w:type="spellEnd"/>
      <w:r w:rsidRPr="00386E86">
        <w:rPr>
          <w:rFonts w:ascii="Arial" w:hAnsi="Arial" w:cs="Arial"/>
          <w:sz w:val="20"/>
          <w:szCs w:val="20"/>
        </w:rPr>
        <w:t xml:space="preserve"> for money </w:t>
      </w:r>
      <w:proofErr w:type="spellStart"/>
      <w:r w:rsidRPr="00386E86">
        <w:rPr>
          <w:rFonts w:ascii="Arial" w:hAnsi="Arial" w:cs="Arial"/>
          <w:sz w:val="20"/>
          <w:szCs w:val="20"/>
        </w:rPr>
        <w:t>assessment</w:t>
      </w:r>
      <w:proofErr w:type="spellEnd"/>
      <w:r w:rsidRPr="00386E86">
        <w:rPr>
          <w:rFonts w:ascii="Arial" w:hAnsi="Arial" w:cs="Arial"/>
          <w:sz w:val="20"/>
          <w:szCs w:val="20"/>
        </w:rPr>
        <w:t xml:space="preserve">”). </w:t>
      </w:r>
    </w:p>
    <w:bookmarkEnd w:id="0"/>
    <w:p w14:paraId="29C4114A" w14:textId="77777777" w:rsidR="000A2501" w:rsidRPr="00386E86" w:rsidRDefault="000A2501" w:rsidP="00A610D6">
      <w:pPr>
        <w:pStyle w:val="Corpotesto"/>
        <w:spacing w:after="120" w:line="360" w:lineRule="auto"/>
        <w:jc w:val="both"/>
        <w:rPr>
          <w:rFonts w:ascii="Arial" w:hAnsi="Arial" w:cs="Arial"/>
          <w:b/>
          <w:bCs/>
          <w:sz w:val="20"/>
          <w:szCs w:val="20"/>
        </w:rPr>
      </w:pPr>
      <w:r w:rsidRPr="00386E86">
        <w:rPr>
          <w:rFonts w:ascii="Arial" w:hAnsi="Arial" w:cs="Arial"/>
          <w:b/>
          <w:bCs/>
          <w:sz w:val="20"/>
          <w:szCs w:val="20"/>
        </w:rPr>
        <w:t>Fase II – Progettazione</w:t>
      </w:r>
    </w:p>
    <w:p w14:paraId="61D7FB8E" w14:textId="77777777" w:rsidR="000A2501" w:rsidRPr="00386E86" w:rsidRDefault="000A2501" w:rsidP="00A610D6">
      <w:pPr>
        <w:pStyle w:val="Corpotesto"/>
        <w:spacing w:after="120" w:line="360" w:lineRule="auto"/>
        <w:jc w:val="both"/>
        <w:rPr>
          <w:rFonts w:ascii="Arial" w:hAnsi="Arial" w:cs="Arial"/>
          <w:sz w:val="20"/>
          <w:szCs w:val="20"/>
        </w:rPr>
      </w:pPr>
      <w:r w:rsidRPr="00386E86">
        <w:rPr>
          <w:rFonts w:ascii="Arial" w:hAnsi="Arial" w:cs="Arial"/>
          <w:sz w:val="20"/>
          <w:szCs w:val="20"/>
        </w:rPr>
        <w:t xml:space="preserve">Supporto nella individuazione della procedura di affidamento per l’eventuale gara del servizio di progettazione: </w:t>
      </w:r>
    </w:p>
    <w:p w14:paraId="35DA4EDA" w14:textId="588573AA" w:rsidR="000A2501" w:rsidRPr="00386E86" w:rsidRDefault="000A2501" w:rsidP="00A610D6">
      <w:pPr>
        <w:pStyle w:val="Corpotesto"/>
        <w:numPr>
          <w:ilvl w:val="0"/>
          <w:numId w:val="5"/>
        </w:numPr>
        <w:spacing w:after="120" w:line="360" w:lineRule="auto"/>
        <w:jc w:val="both"/>
        <w:rPr>
          <w:rFonts w:ascii="Arial" w:hAnsi="Arial" w:cs="Arial"/>
          <w:sz w:val="20"/>
          <w:szCs w:val="20"/>
        </w:rPr>
      </w:pPr>
      <w:r w:rsidRPr="00386E86">
        <w:rPr>
          <w:rFonts w:ascii="Arial" w:hAnsi="Arial" w:cs="Arial"/>
          <w:sz w:val="20"/>
          <w:szCs w:val="20"/>
        </w:rPr>
        <w:t>stesura dei documenti per la gara del servizio di progettazione (i.e. bando/disciplinare di gara, capitolato lavori e servizi, schema di contratto/convenzione);</w:t>
      </w:r>
    </w:p>
    <w:p w14:paraId="130FD9FD" w14:textId="12B31B6D" w:rsidR="000A2501" w:rsidRPr="00386E86" w:rsidRDefault="000A2501" w:rsidP="00A610D6">
      <w:pPr>
        <w:pStyle w:val="Corpotesto"/>
        <w:numPr>
          <w:ilvl w:val="0"/>
          <w:numId w:val="5"/>
        </w:numPr>
        <w:spacing w:after="120" w:line="360" w:lineRule="auto"/>
        <w:jc w:val="both"/>
        <w:rPr>
          <w:rFonts w:ascii="Arial" w:hAnsi="Arial" w:cs="Arial"/>
          <w:sz w:val="20"/>
          <w:szCs w:val="20"/>
        </w:rPr>
      </w:pPr>
      <w:r w:rsidRPr="00386E86">
        <w:rPr>
          <w:rFonts w:ascii="Arial" w:hAnsi="Arial" w:cs="Arial"/>
          <w:sz w:val="20"/>
          <w:szCs w:val="20"/>
        </w:rPr>
        <w:t>definizione dei criteri di selezione (capacità tecniche e professionali) dei progettisti;</w:t>
      </w:r>
    </w:p>
    <w:p w14:paraId="12DA6179" w14:textId="7C2FCFD4" w:rsidR="000A2501" w:rsidRPr="00386E86" w:rsidRDefault="000A2501" w:rsidP="00A610D6">
      <w:pPr>
        <w:pStyle w:val="Corpotesto"/>
        <w:numPr>
          <w:ilvl w:val="0"/>
          <w:numId w:val="5"/>
        </w:numPr>
        <w:spacing w:after="120" w:line="360" w:lineRule="auto"/>
        <w:jc w:val="both"/>
        <w:rPr>
          <w:rFonts w:ascii="Arial" w:hAnsi="Arial" w:cs="Arial"/>
          <w:sz w:val="20"/>
          <w:szCs w:val="20"/>
        </w:rPr>
      </w:pPr>
      <w:r w:rsidRPr="00386E86">
        <w:rPr>
          <w:rFonts w:ascii="Arial" w:hAnsi="Arial" w:cs="Arial"/>
          <w:sz w:val="20"/>
          <w:szCs w:val="20"/>
        </w:rPr>
        <w:t>rendicontazione e monitoraggio delle attività di avanzamento della progettazione, analisi delle criticità e delle azioni correttive;</w:t>
      </w:r>
    </w:p>
    <w:p w14:paraId="5EDA27F0" w14:textId="70F5051F" w:rsidR="000A2501" w:rsidRPr="00386E86" w:rsidRDefault="000A2501" w:rsidP="00A610D6">
      <w:pPr>
        <w:pStyle w:val="Corpotesto"/>
        <w:numPr>
          <w:ilvl w:val="0"/>
          <w:numId w:val="5"/>
        </w:numPr>
        <w:spacing w:after="120" w:line="360" w:lineRule="auto"/>
        <w:jc w:val="both"/>
        <w:rPr>
          <w:rFonts w:ascii="Arial" w:hAnsi="Arial" w:cs="Arial"/>
          <w:sz w:val="20"/>
          <w:szCs w:val="20"/>
        </w:rPr>
      </w:pPr>
      <w:r w:rsidRPr="00386E86">
        <w:rPr>
          <w:rFonts w:ascii="Arial" w:hAnsi="Arial" w:cs="Arial"/>
          <w:sz w:val="20"/>
          <w:szCs w:val="20"/>
        </w:rPr>
        <w:t>laddove consentito, supporto nelle soluzioni progettuali strategiche ed eventualmente nell’interfaccia con i progettisti;</w:t>
      </w:r>
    </w:p>
    <w:p w14:paraId="723AF8E0" w14:textId="403CA0E3" w:rsidR="000A2501" w:rsidRPr="00386E86" w:rsidRDefault="000A2501" w:rsidP="00A610D6">
      <w:pPr>
        <w:pStyle w:val="Corpotesto"/>
        <w:numPr>
          <w:ilvl w:val="0"/>
          <w:numId w:val="5"/>
        </w:numPr>
        <w:spacing w:after="120" w:line="360" w:lineRule="auto"/>
        <w:jc w:val="both"/>
        <w:rPr>
          <w:rFonts w:ascii="Arial" w:hAnsi="Arial" w:cs="Arial"/>
          <w:sz w:val="20"/>
          <w:szCs w:val="20"/>
        </w:rPr>
      </w:pPr>
      <w:r w:rsidRPr="00386E86">
        <w:rPr>
          <w:rFonts w:ascii="Arial" w:hAnsi="Arial" w:cs="Arial"/>
          <w:sz w:val="20"/>
          <w:szCs w:val="20"/>
        </w:rPr>
        <w:t>supporto nell’eventuale fase di conferenza dei servizi preliminare e/o definitiva (gestione documentale e risposte ai commenti degli enti).</w:t>
      </w:r>
    </w:p>
    <w:p w14:paraId="5B6AAFA5" w14:textId="77777777" w:rsidR="000A2501" w:rsidRPr="00386E86" w:rsidRDefault="000A2501" w:rsidP="00A610D6">
      <w:pPr>
        <w:pStyle w:val="Corpotesto"/>
        <w:spacing w:after="120" w:line="360" w:lineRule="auto"/>
        <w:jc w:val="both"/>
        <w:rPr>
          <w:rFonts w:ascii="Arial" w:hAnsi="Arial" w:cs="Arial"/>
          <w:b/>
          <w:bCs/>
          <w:sz w:val="20"/>
          <w:szCs w:val="20"/>
        </w:rPr>
      </w:pPr>
      <w:r w:rsidRPr="00386E86">
        <w:rPr>
          <w:rFonts w:ascii="Arial" w:hAnsi="Arial" w:cs="Arial"/>
          <w:b/>
          <w:bCs/>
          <w:sz w:val="20"/>
          <w:szCs w:val="20"/>
        </w:rPr>
        <w:t xml:space="preserve">Fase III – Affidamento </w:t>
      </w:r>
    </w:p>
    <w:p w14:paraId="26E139F7" w14:textId="45093C34" w:rsidR="000A2501" w:rsidRPr="00386E86" w:rsidRDefault="000A2501" w:rsidP="00A610D6">
      <w:pPr>
        <w:pStyle w:val="Corpotesto"/>
        <w:numPr>
          <w:ilvl w:val="0"/>
          <w:numId w:val="6"/>
        </w:numPr>
        <w:spacing w:after="120" w:line="360" w:lineRule="auto"/>
        <w:jc w:val="both"/>
        <w:rPr>
          <w:rFonts w:ascii="Arial" w:hAnsi="Arial" w:cs="Arial"/>
          <w:sz w:val="20"/>
          <w:szCs w:val="20"/>
        </w:rPr>
      </w:pPr>
      <w:r w:rsidRPr="00386E86">
        <w:rPr>
          <w:rFonts w:ascii="Arial" w:hAnsi="Arial" w:cs="Arial"/>
          <w:sz w:val="20"/>
          <w:szCs w:val="20"/>
        </w:rPr>
        <w:t>Supporto nell</w:t>
      </w:r>
      <w:r w:rsidR="009C2234">
        <w:rPr>
          <w:rFonts w:ascii="Arial" w:hAnsi="Arial" w:cs="Arial"/>
          <w:sz w:val="20"/>
          <w:szCs w:val="20"/>
        </w:rPr>
        <w:t>’</w:t>
      </w:r>
      <w:r w:rsidRPr="00386E86">
        <w:rPr>
          <w:rFonts w:ascii="Arial" w:hAnsi="Arial" w:cs="Arial"/>
          <w:sz w:val="20"/>
          <w:szCs w:val="20"/>
        </w:rPr>
        <w:t xml:space="preserve">individuazione della procedura di affidamento (aperta, ristretta); </w:t>
      </w:r>
    </w:p>
    <w:p w14:paraId="29797739" w14:textId="77777777" w:rsidR="000A2501" w:rsidRPr="00386E86" w:rsidRDefault="000A2501" w:rsidP="00A610D6">
      <w:pPr>
        <w:pStyle w:val="Corpotesto"/>
        <w:numPr>
          <w:ilvl w:val="0"/>
          <w:numId w:val="6"/>
        </w:numPr>
        <w:spacing w:after="120" w:line="360" w:lineRule="auto"/>
        <w:jc w:val="both"/>
        <w:rPr>
          <w:rFonts w:ascii="Arial" w:hAnsi="Arial" w:cs="Arial"/>
          <w:sz w:val="20"/>
          <w:szCs w:val="20"/>
        </w:rPr>
      </w:pPr>
      <w:r w:rsidRPr="00386E86">
        <w:rPr>
          <w:rFonts w:ascii="Arial" w:hAnsi="Arial" w:cs="Arial"/>
          <w:sz w:val="20"/>
          <w:szCs w:val="20"/>
        </w:rPr>
        <w:t>supporto nella stesura dei documenti per la gara (i.e. bando/disciplinare di gara, capitolato lavori e servizi, schema di contratto/convenzione);</w:t>
      </w:r>
    </w:p>
    <w:p w14:paraId="2207716B" w14:textId="77777777" w:rsidR="000A2501" w:rsidRPr="00386E86" w:rsidRDefault="000A2501" w:rsidP="00A610D6">
      <w:pPr>
        <w:pStyle w:val="Corpotesto"/>
        <w:numPr>
          <w:ilvl w:val="0"/>
          <w:numId w:val="6"/>
        </w:numPr>
        <w:spacing w:after="120" w:line="360" w:lineRule="auto"/>
        <w:jc w:val="both"/>
        <w:rPr>
          <w:rFonts w:ascii="Arial" w:hAnsi="Arial" w:cs="Arial"/>
          <w:sz w:val="20"/>
          <w:szCs w:val="20"/>
        </w:rPr>
      </w:pPr>
      <w:r w:rsidRPr="00386E86">
        <w:rPr>
          <w:rFonts w:ascii="Arial" w:hAnsi="Arial" w:cs="Arial"/>
          <w:sz w:val="20"/>
          <w:szCs w:val="20"/>
        </w:rPr>
        <w:t xml:space="preserve">in caso di ricorso al PPP, supporto nella redazione/verifica/aggiornamento del Piano Economico Finanziario, supporto nella definizione dello schema di convenzione e della matrice dei rischi, nonché supporto per l’eventuale richiesta del c.d. “ex ante </w:t>
      </w:r>
      <w:proofErr w:type="spellStart"/>
      <w:r w:rsidRPr="00386E86">
        <w:rPr>
          <w:rFonts w:ascii="Arial" w:hAnsi="Arial" w:cs="Arial"/>
          <w:sz w:val="20"/>
          <w:szCs w:val="20"/>
        </w:rPr>
        <w:t>advice</w:t>
      </w:r>
      <w:proofErr w:type="spellEnd"/>
      <w:r w:rsidRPr="00386E86">
        <w:rPr>
          <w:rFonts w:ascii="Arial" w:hAnsi="Arial" w:cs="Arial"/>
          <w:sz w:val="20"/>
          <w:szCs w:val="20"/>
        </w:rPr>
        <w:t>” ad Istat in merito alla classificazione statistica dei Progetti.</w:t>
      </w:r>
    </w:p>
    <w:p w14:paraId="1296CE72" w14:textId="77777777" w:rsidR="000A2501" w:rsidRPr="00386E86" w:rsidRDefault="000A2501" w:rsidP="00A610D6">
      <w:pPr>
        <w:pStyle w:val="Corpotesto"/>
        <w:spacing w:after="120" w:line="360" w:lineRule="auto"/>
        <w:jc w:val="both"/>
        <w:rPr>
          <w:rFonts w:ascii="Arial" w:hAnsi="Arial" w:cs="Arial"/>
          <w:b/>
          <w:bCs/>
          <w:sz w:val="20"/>
          <w:szCs w:val="20"/>
        </w:rPr>
      </w:pPr>
      <w:r w:rsidRPr="00386E86">
        <w:rPr>
          <w:rFonts w:ascii="Arial" w:hAnsi="Arial" w:cs="Arial"/>
          <w:b/>
          <w:bCs/>
          <w:sz w:val="20"/>
          <w:szCs w:val="20"/>
        </w:rPr>
        <w:t>Fase IV – Esecuzione</w:t>
      </w:r>
    </w:p>
    <w:p w14:paraId="3E7AA436" w14:textId="77777777" w:rsidR="000A2501" w:rsidRPr="00386E86" w:rsidRDefault="000A2501" w:rsidP="00A610D6">
      <w:pPr>
        <w:pStyle w:val="Corpotesto"/>
        <w:spacing w:after="120" w:line="360" w:lineRule="auto"/>
        <w:jc w:val="both"/>
        <w:rPr>
          <w:rFonts w:ascii="Arial" w:hAnsi="Arial" w:cs="Arial"/>
          <w:sz w:val="20"/>
          <w:szCs w:val="20"/>
        </w:rPr>
      </w:pPr>
      <w:r w:rsidRPr="00386E86">
        <w:rPr>
          <w:rFonts w:ascii="Arial" w:hAnsi="Arial" w:cs="Arial"/>
          <w:sz w:val="20"/>
          <w:szCs w:val="20"/>
        </w:rPr>
        <w:t>Laddove non sia coinvolta nel finanziamento e/o nell’esecuzione dei Progetti a supporto del soggetto privato proponente/attuatore e/o soggetto privato che realizzerà gli interventi, CDP può, su richiesta dell’Amministrazione, offrire supporto anche nella fase di esecuzione dei contratti di affidamento lavori. In particolare, a fronte della necessità dell’Amministrazione, CDP potrebbe svolgere le attività di:</w:t>
      </w:r>
    </w:p>
    <w:p w14:paraId="01FA7952" w14:textId="77777777" w:rsidR="000A2501" w:rsidRPr="00386E86" w:rsidRDefault="000A2501" w:rsidP="00A610D6">
      <w:pPr>
        <w:pStyle w:val="Corpotesto"/>
        <w:numPr>
          <w:ilvl w:val="0"/>
          <w:numId w:val="7"/>
        </w:numPr>
        <w:spacing w:after="120" w:line="360" w:lineRule="auto"/>
        <w:jc w:val="both"/>
        <w:rPr>
          <w:rFonts w:ascii="Arial" w:hAnsi="Arial" w:cs="Arial"/>
          <w:sz w:val="20"/>
          <w:szCs w:val="20"/>
        </w:rPr>
      </w:pPr>
      <w:r w:rsidRPr="00386E86">
        <w:rPr>
          <w:rFonts w:ascii="Arial" w:hAnsi="Arial" w:cs="Arial"/>
          <w:sz w:val="20"/>
          <w:szCs w:val="20"/>
        </w:rPr>
        <w:t>supporto nel monitoraggio di avanzamento del programma lavori;</w:t>
      </w:r>
    </w:p>
    <w:p w14:paraId="010D0021" w14:textId="77777777" w:rsidR="000A2501" w:rsidRPr="00386E86" w:rsidRDefault="000A2501" w:rsidP="00A610D6">
      <w:pPr>
        <w:pStyle w:val="Corpotesto"/>
        <w:numPr>
          <w:ilvl w:val="0"/>
          <w:numId w:val="7"/>
        </w:numPr>
        <w:spacing w:after="120" w:line="360" w:lineRule="auto"/>
        <w:jc w:val="both"/>
        <w:rPr>
          <w:rFonts w:ascii="Arial" w:hAnsi="Arial" w:cs="Arial"/>
          <w:sz w:val="20"/>
          <w:szCs w:val="20"/>
        </w:rPr>
      </w:pPr>
      <w:r w:rsidRPr="00386E86">
        <w:rPr>
          <w:rFonts w:ascii="Arial" w:hAnsi="Arial" w:cs="Arial"/>
          <w:sz w:val="20"/>
          <w:szCs w:val="20"/>
        </w:rPr>
        <w:t>supporto nell’eventuale gara per l’affidamento dei servizi tecnici (Direzione Lavori, Coordinamento Sicurezza, collaudi, consulenze tecniche specialistiche);</w:t>
      </w:r>
    </w:p>
    <w:p w14:paraId="1BCBC055" w14:textId="21BD8CD3" w:rsidR="00615155" w:rsidRPr="00F85E56" w:rsidRDefault="000A2501" w:rsidP="00F93ABD">
      <w:pPr>
        <w:pStyle w:val="Corpotesto"/>
        <w:numPr>
          <w:ilvl w:val="0"/>
          <w:numId w:val="7"/>
        </w:numPr>
        <w:spacing w:after="120" w:line="360" w:lineRule="auto"/>
        <w:jc w:val="both"/>
        <w:rPr>
          <w:rFonts w:ascii="Arial" w:hAnsi="Arial" w:cs="Arial"/>
          <w:sz w:val="20"/>
          <w:szCs w:val="20"/>
        </w:rPr>
      </w:pPr>
      <w:r w:rsidRPr="00F85E56">
        <w:rPr>
          <w:rFonts w:ascii="Arial" w:hAnsi="Arial" w:cs="Arial"/>
          <w:sz w:val="20"/>
          <w:szCs w:val="20"/>
        </w:rPr>
        <w:t>consulenza tecnico/amministrativa sulle principali tematiche inerenti alla gestione del contratto.</w:t>
      </w:r>
    </w:p>
    <w:sectPr w:rsidR="00615155" w:rsidRPr="00F85E5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54E1" w14:textId="77777777" w:rsidR="00CE1D90" w:rsidRDefault="00CE1D90" w:rsidP="00615155">
      <w:pPr>
        <w:spacing w:after="0" w:line="240" w:lineRule="auto"/>
      </w:pPr>
      <w:r>
        <w:separator/>
      </w:r>
    </w:p>
  </w:endnote>
  <w:endnote w:type="continuationSeparator" w:id="0">
    <w:p w14:paraId="2476400D" w14:textId="77777777" w:rsidR="00CE1D90" w:rsidRDefault="00CE1D90" w:rsidP="0061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EA995" w14:textId="77777777" w:rsidR="00615155" w:rsidRDefault="00615155">
    <w:pPr>
      <w:pStyle w:val="Pidipagina"/>
    </w:pPr>
    <w:r>
      <w:rPr>
        <w:noProof/>
      </w:rPr>
      <mc:AlternateContent>
        <mc:Choice Requires="wps">
          <w:drawing>
            <wp:anchor distT="0" distB="0" distL="114300" distR="114300" simplePos="0" relativeHeight="251659264" behindDoc="0" locked="0" layoutInCell="0" allowOverlap="1" wp14:anchorId="0B18C49A" wp14:editId="503B0BC1">
              <wp:simplePos x="0" y="0"/>
              <wp:positionH relativeFrom="page">
                <wp:posOffset>0</wp:posOffset>
              </wp:positionH>
              <wp:positionV relativeFrom="page">
                <wp:posOffset>10248900</wp:posOffset>
              </wp:positionV>
              <wp:extent cx="7560310" cy="252095"/>
              <wp:effectExtent l="0" t="0" r="0" b="14605"/>
              <wp:wrapNone/>
              <wp:docPr id="5" name="MSIPCMff5643c09333a60304e11065" descr="{&quot;HashCode&quot;:-110505680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ED3B8" w14:textId="1F962F49" w:rsidR="00615155" w:rsidRPr="00615155" w:rsidRDefault="00615155" w:rsidP="00615155">
                          <w:pPr>
                            <w:spacing w:after="0"/>
                            <w:jc w:val="center"/>
                            <w:rPr>
                              <w:rFonts w:ascii="Arial" w:hAnsi="Arial" w:cs="Arial"/>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18C49A" id="_x0000_t202" coordsize="21600,21600" o:spt="202" path="m,l,21600r21600,l21600,xe">
              <v:stroke joinstyle="miter"/>
              <v:path gradientshapeok="t" o:connecttype="rect"/>
            </v:shapetype>
            <v:shape id="MSIPCMff5643c09333a60304e11065" o:spid="_x0000_s1026" type="#_x0000_t202" alt="{&quot;HashCode&quot;:-1105056801,&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" o:allowincell="f" filled="f" stroked="f" strokeweight=".5pt">
              <v:textbox inset=",0,,0">
                <w:txbxContent>
                  <w:p w14:paraId="043ED3B8" w14:textId="1F962F49" w:rsidR="00615155" w:rsidRPr="00615155" w:rsidRDefault="00615155" w:rsidP="00615155">
                    <w:pPr>
                      <w:spacing w:after="0"/>
                      <w:jc w:val="center"/>
                      <w:rPr>
                        <w:rFonts w:ascii="Arial" w:hAnsi="Arial" w:cs="Arial"/>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EF49E" w14:textId="77777777" w:rsidR="00CE1D90" w:rsidRDefault="00CE1D90" w:rsidP="00615155">
      <w:pPr>
        <w:spacing w:after="0" w:line="240" w:lineRule="auto"/>
      </w:pPr>
      <w:r>
        <w:separator/>
      </w:r>
    </w:p>
  </w:footnote>
  <w:footnote w:type="continuationSeparator" w:id="0">
    <w:p w14:paraId="24F1C373" w14:textId="77777777" w:rsidR="00CE1D90" w:rsidRDefault="00CE1D90" w:rsidP="00615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A2201"/>
    <w:multiLevelType w:val="hybridMultilevel"/>
    <w:tmpl w:val="8026C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46773B"/>
    <w:multiLevelType w:val="hybridMultilevel"/>
    <w:tmpl w:val="BD8C3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9D5E67"/>
    <w:multiLevelType w:val="hybridMultilevel"/>
    <w:tmpl w:val="AFF83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4D5B05"/>
    <w:multiLevelType w:val="hybridMultilevel"/>
    <w:tmpl w:val="149E5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CF57B2"/>
    <w:multiLevelType w:val="hybridMultilevel"/>
    <w:tmpl w:val="0B7AC192"/>
    <w:lvl w:ilvl="0" w:tplc="7D3A8CFC">
      <w:start w:val="1"/>
      <w:numFmt w:val="bullet"/>
      <w:lvlText w:val="-"/>
      <w:lvlJc w:val="left"/>
      <w:pPr>
        <w:tabs>
          <w:tab w:val="num" w:pos="720"/>
        </w:tabs>
        <w:ind w:left="720" w:hanging="360"/>
      </w:pPr>
      <w:rPr>
        <w:rFonts w:ascii="Courier New" w:hAnsi="Courier New" w:hint="default"/>
      </w:rPr>
    </w:lvl>
    <w:lvl w:ilvl="1" w:tplc="6E0A05D8" w:tentative="1">
      <w:start w:val="1"/>
      <w:numFmt w:val="decimal"/>
      <w:lvlText w:val="%2)"/>
      <w:lvlJc w:val="left"/>
      <w:pPr>
        <w:tabs>
          <w:tab w:val="num" w:pos="1440"/>
        </w:tabs>
        <w:ind w:left="1440" w:hanging="360"/>
      </w:pPr>
    </w:lvl>
    <w:lvl w:ilvl="2" w:tplc="69BA6220" w:tentative="1">
      <w:start w:val="1"/>
      <w:numFmt w:val="decimal"/>
      <w:lvlText w:val="%3)"/>
      <w:lvlJc w:val="left"/>
      <w:pPr>
        <w:tabs>
          <w:tab w:val="num" w:pos="2160"/>
        </w:tabs>
        <w:ind w:left="2160" w:hanging="360"/>
      </w:pPr>
    </w:lvl>
    <w:lvl w:ilvl="3" w:tplc="FB4AFAAE" w:tentative="1">
      <w:start w:val="1"/>
      <w:numFmt w:val="decimal"/>
      <w:lvlText w:val="%4)"/>
      <w:lvlJc w:val="left"/>
      <w:pPr>
        <w:tabs>
          <w:tab w:val="num" w:pos="2880"/>
        </w:tabs>
        <w:ind w:left="2880" w:hanging="360"/>
      </w:pPr>
    </w:lvl>
    <w:lvl w:ilvl="4" w:tplc="8F621500" w:tentative="1">
      <w:start w:val="1"/>
      <w:numFmt w:val="decimal"/>
      <w:lvlText w:val="%5)"/>
      <w:lvlJc w:val="left"/>
      <w:pPr>
        <w:tabs>
          <w:tab w:val="num" w:pos="3600"/>
        </w:tabs>
        <w:ind w:left="3600" w:hanging="360"/>
      </w:pPr>
    </w:lvl>
    <w:lvl w:ilvl="5" w:tplc="1BB451F0" w:tentative="1">
      <w:start w:val="1"/>
      <w:numFmt w:val="decimal"/>
      <w:lvlText w:val="%6)"/>
      <w:lvlJc w:val="left"/>
      <w:pPr>
        <w:tabs>
          <w:tab w:val="num" w:pos="4320"/>
        </w:tabs>
        <w:ind w:left="4320" w:hanging="360"/>
      </w:pPr>
    </w:lvl>
    <w:lvl w:ilvl="6" w:tplc="CBD411C2" w:tentative="1">
      <w:start w:val="1"/>
      <w:numFmt w:val="decimal"/>
      <w:lvlText w:val="%7)"/>
      <w:lvlJc w:val="left"/>
      <w:pPr>
        <w:tabs>
          <w:tab w:val="num" w:pos="5040"/>
        </w:tabs>
        <w:ind w:left="5040" w:hanging="360"/>
      </w:pPr>
    </w:lvl>
    <w:lvl w:ilvl="7" w:tplc="AD9480F6" w:tentative="1">
      <w:start w:val="1"/>
      <w:numFmt w:val="decimal"/>
      <w:lvlText w:val="%8)"/>
      <w:lvlJc w:val="left"/>
      <w:pPr>
        <w:tabs>
          <w:tab w:val="num" w:pos="5760"/>
        </w:tabs>
        <w:ind w:left="5760" w:hanging="360"/>
      </w:pPr>
    </w:lvl>
    <w:lvl w:ilvl="8" w:tplc="BB7ADBB4" w:tentative="1">
      <w:start w:val="1"/>
      <w:numFmt w:val="decimal"/>
      <w:lvlText w:val="%9)"/>
      <w:lvlJc w:val="left"/>
      <w:pPr>
        <w:tabs>
          <w:tab w:val="num" w:pos="6480"/>
        </w:tabs>
        <w:ind w:left="6480" w:hanging="360"/>
      </w:pPr>
    </w:lvl>
  </w:abstractNum>
  <w:abstractNum w:abstractNumId="5" w15:restartNumberingAfterBreak="0">
    <w:nsid w:val="4A013E6E"/>
    <w:multiLevelType w:val="hybridMultilevel"/>
    <w:tmpl w:val="9962C630"/>
    <w:lvl w:ilvl="0" w:tplc="1B3E74AE">
      <w:numFmt w:val="bullet"/>
      <w:lvlText w:val="-"/>
      <w:lvlJc w:val="left"/>
      <w:pPr>
        <w:tabs>
          <w:tab w:val="num" w:pos="720"/>
        </w:tabs>
        <w:ind w:left="720" w:hanging="360"/>
      </w:pPr>
      <w:rPr>
        <w:rFonts w:ascii="Calibri" w:eastAsiaTheme="minorHAnsi" w:hAnsi="Calibri" w:cstheme="minorBidi" w:hint="default"/>
      </w:rPr>
    </w:lvl>
    <w:lvl w:ilvl="1" w:tplc="6E0A05D8" w:tentative="1">
      <w:start w:val="1"/>
      <w:numFmt w:val="decimal"/>
      <w:lvlText w:val="%2)"/>
      <w:lvlJc w:val="left"/>
      <w:pPr>
        <w:tabs>
          <w:tab w:val="num" w:pos="1440"/>
        </w:tabs>
        <w:ind w:left="1440" w:hanging="360"/>
      </w:pPr>
    </w:lvl>
    <w:lvl w:ilvl="2" w:tplc="69BA6220" w:tentative="1">
      <w:start w:val="1"/>
      <w:numFmt w:val="decimal"/>
      <w:lvlText w:val="%3)"/>
      <w:lvlJc w:val="left"/>
      <w:pPr>
        <w:tabs>
          <w:tab w:val="num" w:pos="2160"/>
        </w:tabs>
        <w:ind w:left="2160" w:hanging="360"/>
      </w:pPr>
    </w:lvl>
    <w:lvl w:ilvl="3" w:tplc="FB4AFAAE" w:tentative="1">
      <w:start w:val="1"/>
      <w:numFmt w:val="decimal"/>
      <w:lvlText w:val="%4)"/>
      <w:lvlJc w:val="left"/>
      <w:pPr>
        <w:tabs>
          <w:tab w:val="num" w:pos="2880"/>
        </w:tabs>
        <w:ind w:left="2880" w:hanging="360"/>
      </w:pPr>
    </w:lvl>
    <w:lvl w:ilvl="4" w:tplc="8F621500" w:tentative="1">
      <w:start w:val="1"/>
      <w:numFmt w:val="decimal"/>
      <w:lvlText w:val="%5)"/>
      <w:lvlJc w:val="left"/>
      <w:pPr>
        <w:tabs>
          <w:tab w:val="num" w:pos="3600"/>
        </w:tabs>
        <w:ind w:left="3600" w:hanging="360"/>
      </w:pPr>
    </w:lvl>
    <w:lvl w:ilvl="5" w:tplc="1BB451F0" w:tentative="1">
      <w:start w:val="1"/>
      <w:numFmt w:val="decimal"/>
      <w:lvlText w:val="%6)"/>
      <w:lvlJc w:val="left"/>
      <w:pPr>
        <w:tabs>
          <w:tab w:val="num" w:pos="4320"/>
        </w:tabs>
        <w:ind w:left="4320" w:hanging="360"/>
      </w:pPr>
    </w:lvl>
    <w:lvl w:ilvl="6" w:tplc="CBD411C2" w:tentative="1">
      <w:start w:val="1"/>
      <w:numFmt w:val="decimal"/>
      <w:lvlText w:val="%7)"/>
      <w:lvlJc w:val="left"/>
      <w:pPr>
        <w:tabs>
          <w:tab w:val="num" w:pos="5040"/>
        </w:tabs>
        <w:ind w:left="5040" w:hanging="360"/>
      </w:pPr>
    </w:lvl>
    <w:lvl w:ilvl="7" w:tplc="AD9480F6" w:tentative="1">
      <w:start w:val="1"/>
      <w:numFmt w:val="decimal"/>
      <w:lvlText w:val="%8)"/>
      <w:lvlJc w:val="left"/>
      <w:pPr>
        <w:tabs>
          <w:tab w:val="num" w:pos="5760"/>
        </w:tabs>
        <w:ind w:left="5760" w:hanging="360"/>
      </w:pPr>
    </w:lvl>
    <w:lvl w:ilvl="8" w:tplc="BB7ADBB4" w:tentative="1">
      <w:start w:val="1"/>
      <w:numFmt w:val="decimal"/>
      <w:lvlText w:val="%9)"/>
      <w:lvlJc w:val="left"/>
      <w:pPr>
        <w:tabs>
          <w:tab w:val="num" w:pos="6480"/>
        </w:tabs>
        <w:ind w:left="6480" w:hanging="360"/>
      </w:pPr>
    </w:lvl>
  </w:abstractNum>
  <w:abstractNum w:abstractNumId="6" w15:restartNumberingAfterBreak="0">
    <w:nsid w:val="626E56D6"/>
    <w:multiLevelType w:val="hybridMultilevel"/>
    <w:tmpl w:val="50C86DD8"/>
    <w:lvl w:ilvl="0" w:tplc="1B3E74A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7D"/>
    <w:rsid w:val="00033645"/>
    <w:rsid w:val="000A2501"/>
    <w:rsid w:val="000D3D7D"/>
    <w:rsid w:val="000E541B"/>
    <w:rsid w:val="001343FA"/>
    <w:rsid w:val="002E2838"/>
    <w:rsid w:val="00386E86"/>
    <w:rsid w:val="00615155"/>
    <w:rsid w:val="00767661"/>
    <w:rsid w:val="009B1E21"/>
    <w:rsid w:val="009B6A95"/>
    <w:rsid w:val="009C2234"/>
    <w:rsid w:val="00A610D6"/>
    <w:rsid w:val="00A8227F"/>
    <w:rsid w:val="00B83C86"/>
    <w:rsid w:val="00BD1C2C"/>
    <w:rsid w:val="00CE1D90"/>
    <w:rsid w:val="00D71254"/>
    <w:rsid w:val="00F85E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CC155"/>
  <w15:chartTrackingRefBased/>
  <w15:docId w15:val="{2B92D6D1-84AE-4A17-92F5-662B123E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151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615155"/>
    <w:pPr>
      <w:spacing w:after="200" w:line="240" w:lineRule="auto"/>
    </w:pPr>
    <w:rPr>
      <w:i/>
      <w:iCs/>
      <w:color w:val="44546A" w:themeColor="text2"/>
      <w:sz w:val="18"/>
      <w:szCs w:val="18"/>
    </w:rPr>
  </w:style>
  <w:style w:type="character" w:customStyle="1" w:styleId="Titolo1Carattere">
    <w:name w:val="Titolo 1 Carattere"/>
    <w:basedOn w:val="Carpredefinitoparagrafo"/>
    <w:link w:val="Titolo1"/>
    <w:uiPriority w:val="9"/>
    <w:rsid w:val="00615155"/>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6151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5155"/>
  </w:style>
  <w:style w:type="paragraph" w:styleId="Pidipagina">
    <w:name w:val="footer"/>
    <w:basedOn w:val="Normale"/>
    <w:link w:val="PidipaginaCarattere"/>
    <w:uiPriority w:val="99"/>
    <w:unhideWhenUsed/>
    <w:rsid w:val="006151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5155"/>
  </w:style>
  <w:style w:type="paragraph" w:customStyle="1" w:styleId="Stile1">
    <w:name w:val="Stile1"/>
    <w:basedOn w:val="Titolo1"/>
    <w:qFormat/>
    <w:rsid w:val="009B1E21"/>
    <w:pPr>
      <w:keepLines w:val="0"/>
      <w:pageBreakBefore/>
      <w:spacing w:before="0" w:after="1200" w:line="264" w:lineRule="auto"/>
    </w:pPr>
    <w:rPr>
      <w:rFonts w:ascii="Arial" w:hAnsi="Arial"/>
      <w:b/>
      <w:bCs/>
      <w:color w:val="44546A" w:themeColor="text2"/>
    </w:rPr>
  </w:style>
  <w:style w:type="paragraph" w:styleId="Corpotesto">
    <w:name w:val="Body Text"/>
    <w:basedOn w:val="Normale"/>
    <w:link w:val="CorpotestoCarattere"/>
    <w:uiPriority w:val="1"/>
    <w:unhideWhenUsed/>
    <w:qFormat/>
    <w:rsid w:val="00A610D6"/>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A610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93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25D5A25543B04695CC06CFD079C9EA" ma:contentTypeVersion="10" ma:contentTypeDescription="Creare un nuovo documento." ma:contentTypeScope="" ma:versionID="a6b2ca3a93a320dc9dd4576785ace3e8">
  <xsd:schema xmlns:xsd="http://www.w3.org/2001/XMLSchema" xmlns:xs="http://www.w3.org/2001/XMLSchema" xmlns:p="http://schemas.microsoft.com/office/2006/metadata/properties" xmlns:ns2="a5a26ade-e40d-4160-aafc-cf855dbadc5d" xmlns:ns3="0ff9c9c0-a5ac-4fcc-be6d-55c3beffedc3" targetNamespace="http://schemas.microsoft.com/office/2006/metadata/properties" ma:root="true" ma:fieldsID="90592d9caeea0b098b367992db2b201f" ns2:_="" ns3:_="">
    <xsd:import namespace="a5a26ade-e40d-4160-aafc-cf855dbadc5d"/>
    <xsd:import namespace="0ff9c9c0-a5ac-4fcc-be6d-55c3beffe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6ade-e40d-4160-aafc-cf855dbad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9c9c0-a5ac-4fcc-be6d-55c3beffedc3"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9F4F1-CF1F-4D90-83A2-5E9378A459FA}"/>
</file>

<file path=customXml/itemProps2.xml><?xml version="1.0" encoding="utf-8"?>
<ds:datastoreItem xmlns:ds="http://schemas.openxmlformats.org/officeDocument/2006/customXml" ds:itemID="{E9A05AE4-DB21-4CA3-A764-D5E1A8DBEAE3}"/>
</file>

<file path=customXml/itemProps3.xml><?xml version="1.0" encoding="utf-8"?>
<ds:datastoreItem xmlns:ds="http://schemas.openxmlformats.org/officeDocument/2006/customXml" ds:itemID="{DF386994-6639-4929-90BC-1723290D76CC}"/>
</file>

<file path=docProps/app.xml><?xml version="1.0" encoding="utf-8"?>
<Properties xmlns="http://schemas.openxmlformats.org/officeDocument/2006/extended-properties" xmlns:vt="http://schemas.openxmlformats.org/officeDocument/2006/docPropsVTypes">
  <Template>Normal.dotm</Template>
  <TotalTime>8</TotalTime>
  <Pages>2</Pages>
  <Words>672</Words>
  <Characters>3834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Di Domenico</dc:creator>
  <cp:keywords/>
  <dc:description/>
  <cp:lastModifiedBy>Paolo Ricò</cp:lastModifiedBy>
  <cp:revision>3</cp:revision>
  <dcterms:created xsi:type="dcterms:W3CDTF">2021-02-19T12:10:00Z</dcterms:created>
  <dcterms:modified xsi:type="dcterms:W3CDTF">2021-03-18T17:22:00Z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255aed-7de2-497a-9b96-4de850d7aec7_Enabled">
    <vt:lpwstr>true</vt:lpwstr>
  </property>
  <property fmtid="{D5CDD505-2E9C-101B-9397-08002B2CF9AE}" pid="3" name="MSIP_Label_ee255aed-7de2-497a-9b96-4de850d7aec7_SetDate">
    <vt:lpwstr>2021-02-18T18:26:37Z</vt:lpwstr>
  </property>
  <property fmtid="{D5CDD505-2E9C-101B-9397-08002B2CF9AE}" pid="4" name="MSIP_Label_ee255aed-7de2-497a-9b96-4de850d7aec7_Method">
    <vt:lpwstr>Standard</vt:lpwstr>
  </property>
  <property fmtid="{D5CDD505-2E9C-101B-9397-08002B2CF9AE}" pid="5" name="MSIP_Label_ee255aed-7de2-497a-9b96-4de850d7aec7_Name">
    <vt:lpwstr>ee255aed-7de2-497a-9b96-4de850d7aec7</vt:lpwstr>
  </property>
  <property fmtid="{D5CDD505-2E9C-101B-9397-08002B2CF9AE}" pid="6" name="MSIP_Label_ee255aed-7de2-497a-9b96-4de850d7aec7_SiteId">
    <vt:lpwstr>8c4b47b5-ea35-4370-817f-95066d4f8467</vt:lpwstr>
  </property>
  <property fmtid="{D5CDD505-2E9C-101B-9397-08002B2CF9AE}" pid="7" name="MSIP_Label_ee255aed-7de2-497a-9b96-4de850d7aec7_ActionId">
    <vt:lpwstr>2c2742dd-3154-4a17-a9e0-73f5ac28a87d</vt:lpwstr>
  </property>
  <property fmtid="{D5CDD505-2E9C-101B-9397-08002B2CF9AE}" pid="8" name="MSIP_Label_ee255aed-7de2-497a-9b96-4de850d7aec7_ContentBits">
    <vt:lpwstr>2</vt:lpwstr>
  </property>
  <property fmtid="{D5CDD505-2E9C-101B-9397-08002B2CF9AE}" pid="9" name="ContentTypeId">
    <vt:lpwstr>0x0101007D25D5A25543B04695CC06CFD079C9EA</vt:lpwstr>
  </property>
</Properties>
</file>