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779F" w14:textId="77777777" w:rsidR="002B7EFC" w:rsidRDefault="002B7EFC" w:rsidP="002B7EFC">
      <w:pPr>
        <w:jc w:val="center"/>
      </w:pPr>
      <w:r>
        <w:rPr>
          <w:noProof/>
        </w:rPr>
        <w:drawing>
          <wp:inline distT="0" distB="0" distL="0" distR="0" wp14:anchorId="42986A8E" wp14:editId="6C3C9D5A">
            <wp:extent cx="1175176" cy="969433"/>
            <wp:effectExtent l="0" t="0" r="635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669" cy="97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E528" w14:textId="77777777" w:rsidR="002B7EFC" w:rsidRDefault="002B7EFC" w:rsidP="002B7EFC"/>
    <w:p w14:paraId="5A91F391" w14:textId="77777777" w:rsidR="002B7EFC" w:rsidRDefault="002B7EFC" w:rsidP="002B7EFC">
      <w:pPr>
        <w:jc w:val="center"/>
        <w:rPr>
          <w:sz w:val="28"/>
          <w:szCs w:val="28"/>
        </w:rPr>
      </w:pPr>
    </w:p>
    <w:p w14:paraId="2C39D8D2" w14:textId="77777777" w:rsidR="002B7EFC" w:rsidRDefault="002B7EFC" w:rsidP="002B7EFC">
      <w:pPr>
        <w:jc w:val="center"/>
        <w:rPr>
          <w:sz w:val="28"/>
          <w:szCs w:val="28"/>
        </w:rPr>
      </w:pPr>
    </w:p>
    <w:p w14:paraId="423FAD48" w14:textId="77777777" w:rsidR="002B7EFC" w:rsidRPr="0015573B" w:rsidRDefault="002B7EFC" w:rsidP="002B7EFC">
      <w:pPr>
        <w:jc w:val="center"/>
        <w:rPr>
          <w:sz w:val="36"/>
          <w:szCs w:val="36"/>
        </w:rPr>
      </w:pPr>
      <w:r w:rsidRPr="0015573B">
        <w:rPr>
          <w:sz w:val="36"/>
          <w:szCs w:val="36"/>
        </w:rPr>
        <w:t>Audizione Commissione Lavori pubblici Senato</w:t>
      </w:r>
    </w:p>
    <w:p w14:paraId="1FE77774" w14:textId="77777777" w:rsidR="002B7EFC" w:rsidRPr="0015573B" w:rsidRDefault="002B7EFC" w:rsidP="002B7EFC">
      <w:pPr>
        <w:jc w:val="center"/>
        <w:rPr>
          <w:b/>
          <w:bCs/>
          <w:sz w:val="36"/>
          <w:szCs w:val="36"/>
        </w:rPr>
      </w:pPr>
      <w:r w:rsidRPr="0015573B">
        <w:rPr>
          <w:b/>
          <w:bCs/>
          <w:sz w:val="36"/>
          <w:szCs w:val="36"/>
        </w:rPr>
        <w:t>Disegno di legge n. 2330 - Delega in materia di contratti pubblici</w:t>
      </w:r>
    </w:p>
    <w:p w14:paraId="0DDE5DE2" w14:textId="77777777" w:rsidR="002B7EFC" w:rsidRPr="0015573B" w:rsidRDefault="002B7EFC" w:rsidP="002B7EFC">
      <w:pPr>
        <w:jc w:val="center"/>
        <w:rPr>
          <w:b/>
          <w:bCs/>
          <w:sz w:val="36"/>
          <w:szCs w:val="36"/>
        </w:rPr>
      </w:pPr>
    </w:p>
    <w:p w14:paraId="5577B593" w14:textId="3CC57398" w:rsidR="002B7EFC" w:rsidRPr="0015573B" w:rsidRDefault="00F60460" w:rsidP="002B7EFC">
      <w:pPr>
        <w:jc w:val="center"/>
        <w:rPr>
          <w:b/>
          <w:bCs/>
          <w:sz w:val="36"/>
          <w:szCs w:val="36"/>
        </w:rPr>
      </w:pPr>
      <w:r w:rsidRPr="0015573B">
        <w:rPr>
          <w:b/>
          <w:bCs/>
          <w:sz w:val="36"/>
          <w:szCs w:val="36"/>
        </w:rPr>
        <w:t xml:space="preserve">Il contributo </w:t>
      </w:r>
      <w:r w:rsidR="002B7EFC" w:rsidRPr="0015573B">
        <w:rPr>
          <w:b/>
          <w:bCs/>
          <w:sz w:val="36"/>
          <w:szCs w:val="36"/>
        </w:rPr>
        <w:t>delle Province</w:t>
      </w:r>
    </w:p>
    <w:p w14:paraId="6C7DB293" w14:textId="77777777" w:rsidR="002B7EFC" w:rsidRDefault="002B7EFC" w:rsidP="002B7EFC">
      <w:pPr>
        <w:jc w:val="center"/>
        <w:rPr>
          <w:sz w:val="28"/>
          <w:szCs w:val="28"/>
        </w:rPr>
      </w:pPr>
    </w:p>
    <w:p w14:paraId="2D389A01" w14:textId="77777777" w:rsidR="002B7EFC" w:rsidRDefault="002B7EFC" w:rsidP="002B7EFC">
      <w:pPr>
        <w:jc w:val="center"/>
        <w:rPr>
          <w:sz w:val="28"/>
          <w:szCs w:val="28"/>
        </w:rPr>
      </w:pPr>
    </w:p>
    <w:p w14:paraId="6F78E1B7" w14:textId="77777777" w:rsidR="002B7EFC" w:rsidRDefault="002B7EFC" w:rsidP="002B7EFC">
      <w:pPr>
        <w:jc w:val="center"/>
        <w:rPr>
          <w:sz w:val="28"/>
          <w:szCs w:val="28"/>
        </w:rPr>
      </w:pPr>
    </w:p>
    <w:p w14:paraId="0B782305" w14:textId="77777777" w:rsidR="002B7EFC" w:rsidRDefault="002B7EFC" w:rsidP="002B7EFC">
      <w:pPr>
        <w:jc w:val="center"/>
        <w:rPr>
          <w:sz w:val="28"/>
          <w:szCs w:val="28"/>
        </w:rPr>
      </w:pPr>
    </w:p>
    <w:p w14:paraId="1AE41BE9" w14:textId="77777777" w:rsidR="002B7EFC" w:rsidRDefault="002B7EFC" w:rsidP="002B7EFC">
      <w:pPr>
        <w:jc w:val="center"/>
        <w:rPr>
          <w:sz w:val="28"/>
          <w:szCs w:val="28"/>
        </w:rPr>
      </w:pPr>
    </w:p>
    <w:p w14:paraId="3C0F69C0" w14:textId="77777777" w:rsidR="002B7EFC" w:rsidRDefault="002B7EFC" w:rsidP="002B7EFC">
      <w:pPr>
        <w:jc w:val="center"/>
        <w:rPr>
          <w:sz w:val="28"/>
          <w:szCs w:val="28"/>
        </w:rPr>
      </w:pPr>
    </w:p>
    <w:p w14:paraId="3658B5C1" w14:textId="77777777" w:rsidR="002B7EFC" w:rsidRDefault="002B7EFC" w:rsidP="002B7EFC">
      <w:pPr>
        <w:jc w:val="center"/>
        <w:rPr>
          <w:sz w:val="28"/>
          <w:szCs w:val="28"/>
        </w:rPr>
      </w:pPr>
    </w:p>
    <w:p w14:paraId="04418023" w14:textId="77777777" w:rsidR="002B7EFC" w:rsidRDefault="002B7EFC" w:rsidP="002B7EFC">
      <w:pPr>
        <w:jc w:val="center"/>
        <w:rPr>
          <w:sz w:val="28"/>
          <w:szCs w:val="28"/>
        </w:rPr>
      </w:pPr>
    </w:p>
    <w:p w14:paraId="5FDD7C14" w14:textId="77777777" w:rsidR="002B7EFC" w:rsidRDefault="002B7EFC" w:rsidP="002B7EFC">
      <w:pPr>
        <w:jc w:val="center"/>
        <w:rPr>
          <w:sz w:val="28"/>
          <w:szCs w:val="28"/>
        </w:rPr>
      </w:pPr>
    </w:p>
    <w:p w14:paraId="4EEE0267" w14:textId="77777777" w:rsidR="002B7EFC" w:rsidRDefault="002B7EFC" w:rsidP="002B7EFC">
      <w:pPr>
        <w:jc w:val="center"/>
        <w:rPr>
          <w:sz w:val="28"/>
          <w:szCs w:val="28"/>
        </w:rPr>
      </w:pPr>
    </w:p>
    <w:p w14:paraId="1BDEFBEB" w14:textId="77777777" w:rsidR="002B7EFC" w:rsidRDefault="002B7EFC" w:rsidP="002B7EFC">
      <w:pPr>
        <w:jc w:val="center"/>
        <w:rPr>
          <w:sz w:val="28"/>
          <w:szCs w:val="28"/>
        </w:rPr>
      </w:pPr>
    </w:p>
    <w:p w14:paraId="54731952" w14:textId="77777777" w:rsidR="002B7EFC" w:rsidRDefault="002B7EFC" w:rsidP="002B7EFC">
      <w:pPr>
        <w:jc w:val="center"/>
        <w:rPr>
          <w:sz w:val="28"/>
          <w:szCs w:val="28"/>
        </w:rPr>
      </w:pPr>
    </w:p>
    <w:p w14:paraId="5E9F4C68" w14:textId="30B05D42" w:rsidR="002B7EFC" w:rsidRDefault="002B7EFC" w:rsidP="002B7EFC">
      <w:pPr>
        <w:jc w:val="center"/>
        <w:rPr>
          <w:sz w:val="28"/>
          <w:szCs w:val="28"/>
        </w:rPr>
      </w:pPr>
    </w:p>
    <w:p w14:paraId="78F66864" w14:textId="200FC61B" w:rsidR="00F4218C" w:rsidRDefault="00F4218C" w:rsidP="002B7EFC">
      <w:pPr>
        <w:jc w:val="center"/>
        <w:rPr>
          <w:sz w:val="28"/>
          <w:szCs w:val="28"/>
        </w:rPr>
      </w:pPr>
    </w:p>
    <w:p w14:paraId="182FC45D" w14:textId="77777777" w:rsidR="00F4218C" w:rsidRDefault="00F4218C" w:rsidP="002B7EFC">
      <w:pPr>
        <w:jc w:val="center"/>
        <w:rPr>
          <w:sz w:val="28"/>
          <w:szCs w:val="28"/>
        </w:rPr>
      </w:pPr>
    </w:p>
    <w:p w14:paraId="20432805" w14:textId="77777777" w:rsidR="002B7EFC" w:rsidRPr="00041CB3" w:rsidRDefault="002B7EFC" w:rsidP="002B7EFC">
      <w:pPr>
        <w:jc w:val="center"/>
        <w:rPr>
          <w:i/>
          <w:iCs/>
          <w:sz w:val="28"/>
          <w:szCs w:val="28"/>
        </w:rPr>
      </w:pPr>
      <w:r w:rsidRPr="00041CB3">
        <w:rPr>
          <w:i/>
          <w:iCs/>
          <w:sz w:val="28"/>
          <w:szCs w:val="28"/>
        </w:rPr>
        <w:t>Roma, 21 ottobre 2021</w:t>
      </w:r>
    </w:p>
    <w:p w14:paraId="4B63136B" w14:textId="77777777" w:rsidR="002B7EFC" w:rsidRPr="00041CB3" w:rsidRDefault="002B7EFC" w:rsidP="002B7EFC">
      <w:pPr>
        <w:jc w:val="center"/>
        <w:rPr>
          <w:sz w:val="28"/>
          <w:szCs w:val="28"/>
        </w:rPr>
      </w:pPr>
    </w:p>
    <w:p w14:paraId="02839D9A" w14:textId="4BC59A8C" w:rsidR="002B7EFC" w:rsidRPr="002606C2" w:rsidRDefault="00F60460" w:rsidP="002B7EFC">
      <w:pPr>
        <w:spacing w:after="120" w:line="24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Premessa </w:t>
      </w:r>
    </w:p>
    <w:p w14:paraId="432BCCA5" w14:textId="77777777" w:rsidR="00F60460" w:rsidRDefault="00F60460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</w:p>
    <w:p w14:paraId="0BD47314" w14:textId="61B6F6ED" w:rsidR="002B7EFC" w:rsidRDefault="002B7EFC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  <w:r w:rsidRPr="002B7EFC">
        <w:rPr>
          <w:bCs/>
          <w:iCs/>
          <w:sz w:val="26"/>
          <w:szCs w:val="26"/>
        </w:rPr>
        <w:t>Il disegno di legge di delega al Governo per la revisione della disciplina dei contratti pubblici</w:t>
      </w:r>
      <w:r>
        <w:rPr>
          <w:bCs/>
          <w:iCs/>
          <w:sz w:val="26"/>
          <w:szCs w:val="26"/>
        </w:rPr>
        <w:t xml:space="preserve"> nasce dall’esigenza di </w:t>
      </w:r>
      <w:r w:rsidRPr="002B7EFC">
        <w:rPr>
          <w:bCs/>
          <w:iCs/>
          <w:sz w:val="26"/>
          <w:szCs w:val="26"/>
        </w:rPr>
        <w:t>adeguare il settore dei contratti pubblici all’evoluzione della giurisprudenza in materia ma</w:t>
      </w:r>
      <w:r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>anche per risolvere i problemi applicativi riscontrati a seguito dell’entrata in vigore del</w:t>
      </w:r>
      <w:r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>codice di cui al decreto legislativo 18 aprile</w:t>
      </w:r>
      <w:r w:rsidR="00936696"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>2016, n.</w:t>
      </w:r>
      <w:r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 xml:space="preserve">50, </w:t>
      </w:r>
      <w:r>
        <w:rPr>
          <w:bCs/>
          <w:iCs/>
          <w:sz w:val="26"/>
          <w:szCs w:val="26"/>
        </w:rPr>
        <w:t xml:space="preserve">e </w:t>
      </w:r>
      <w:r w:rsidRPr="002B7EFC">
        <w:rPr>
          <w:bCs/>
          <w:iCs/>
          <w:sz w:val="26"/>
          <w:szCs w:val="26"/>
        </w:rPr>
        <w:t>delle relative disposizioni integrative</w:t>
      </w:r>
      <w:r>
        <w:rPr>
          <w:bCs/>
          <w:iCs/>
          <w:sz w:val="26"/>
          <w:szCs w:val="26"/>
        </w:rPr>
        <w:t xml:space="preserve">, </w:t>
      </w:r>
      <w:r w:rsidRPr="002B7EFC">
        <w:rPr>
          <w:bCs/>
          <w:iCs/>
          <w:sz w:val="26"/>
          <w:szCs w:val="26"/>
        </w:rPr>
        <w:t xml:space="preserve">correttive </w:t>
      </w:r>
      <w:r>
        <w:rPr>
          <w:bCs/>
          <w:iCs/>
          <w:sz w:val="26"/>
          <w:szCs w:val="26"/>
        </w:rPr>
        <w:t>e modificative intervenute successivamente.</w:t>
      </w:r>
    </w:p>
    <w:p w14:paraId="4578248E" w14:textId="6871ABE0" w:rsidR="00F4218C" w:rsidRDefault="00F4218C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L’Unione delle Province d’Italia apprezza la scelta del Governo poiché va nella direzione auspicata della semplificazione della disciplina sui contratti pubblici, della riduzione del numero </w:t>
      </w:r>
      <w:r w:rsidR="0015573B">
        <w:rPr>
          <w:bCs/>
          <w:iCs/>
          <w:sz w:val="26"/>
          <w:szCs w:val="26"/>
        </w:rPr>
        <w:t xml:space="preserve">delle stazioni appaltanti </w:t>
      </w:r>
      <w:r>
        <w:rPr>
          <w:bCs/>
          <w:iCs/>
          <w:sz w:val="26"/>
          <w:szCs w:val="26"/>
        </w:rPr>
        <w:t xml:space="preserve">e della </w:t>
      </w:r>
      <w:r w:rsidR="0015573B">
        <w:rPr>
          <w:bCs/>
          <w:iCs/>
          <w:sz w:val="26"/>
          <w:szCs w:val="26"/>
        </w:rPr>
        <w:t xml:space="preserve">loro </w:t>
      </w:r>
      <w:r>
        <w:rPr>
          <w:bCs/>
          <w:iCs/>
          <w:sz w:val="26"/>
          <w:szCs w:val="26"/>
        </w:rPr>
        <w:t>qualificazione</w:t>
      </w:r>
      <w:r w:rsidR="0015573B">
        <w:rPr>
          <w:bCs/>
          <w:iCs/>
          <w:sz w:val="26"/>
          <w:szCs w:val="26"/>
        </w:rPr>
        <w:t>.</w:t>
      </w:r>
    </w:p>
    <w:p w14:paraId="457EF325" w14:textId="57254481" w:rsidR="00F60460" w:rsidRDefault="00F60460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</w:p>
    <w:p w14:paraId="4BC1FFED" w14:textId="77777777" w:rsidR="00F60460" w:rsidRDefault="00F60460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</w:p>
    <w:p w14:paraId="41962650" w14:textId="6C6C2C76" w:rsidR="00F60460" w:rsidRPr="0015573B" w:rsidRDefault="00F60460" w:rsidP="0015573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bCs/>
          <w:iCs/>
          <w:sz w:val="26"/>
          <w:szCs w:val="26"/>
        </w:rPr>
      </w:pPr>
      <w:r w:rsidRPr="0015573B">
        <w:rPr>
          <w:b/>
          <w:i/>
          <w:sz w:val="26"/>
          <w:szCs w:val="26"/>
        </w:rPr>
        <w:t>Le esigenze di revisione del codice</w:t>
      </w:r>
    </w:p>
    <w:p w14:paraId="545189EE" w14:textId="77777777" w:rsidR="00F60460" w:rsidRDefault="00F60460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</w:p>
    <w:p w14:paraId="6B0C4F1E" w14:textId="0256BB06" w:rsidR="002B7EFC" w:rsidRDefault="00936696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Il codice dei contratti pubblici prevedeva numerosi provvedimenti attuativi che non sono stati mai emanati. </w:t>
      </w:r>
      <w:r w:rsidR="002B7EFC">
        <w:rPr>
          <w:bCs/>
          <w:iCs/>
          <w:sz w:val="26"/>
          <w:szCs w:val="26"/>
        </w:rPr>
        <w:t>Le norme introdotte all’inizio di questa legislat</w:t>
      </w:r>
      <w:r>
        <w:rPr>
          <w:bCs/>
          <w:iCs/>
          <w:sz w:val="26"/>
          <w:szCs w:val="26"/>
        </w:rPr>
        <w:t xml:space="preserve">ura e a seguito dell’insorgenza della pandemia </w:t>
      </w:r>
      <w:r w:rsidR="002B7EFC" w:rsidRPr="002B7EFC">
        <w:rPr>
          <w:bCs/>
          <w:iCs/>
          <w:sz w:val="26"/>
          <w:szCs w:val="26"/>
        </w:rPr>
        <w:t xml:space="preserve">hanno </w:t>
      </w:r>
      <w:r>
        <w:rPr>
          <w:bCs/>
          <w:iCs/>
          <w:sz w:val="26"/>
          <w:szCs w:val="26"/>
        </w:rPr>
        <w:t xml:space="preserve">inoltre </w:t>
      </w:r>
      <w:r w:rsidR="002B7EFC" w:rsidRPr="002B7EFC">
        <w:rPr>
          <w:bCs/>
          <w:iCs/>
          <w:sz w:val="26"/>
          <w:szCs w:val="26"/>
        </w:rPr>
        <w:t>in</w:t>
      </w:r>
      <w:r w:rsidR="002B7EFC">
        <w:rPr>
          <w:bCs/>
          <w:iCs/>
          <w:sz w:val="26"/>
          <w:szCs w:val="26"/>
        </w:rPr>
        <w:t xml:space="preserve"> </w:t>
      </w:r>
      <w:r w:rsidR="002B7EFC" w:rsidRPr="002B7EFC">
        <w:rPr>
          <w:bCs/>
          <w:iCs/>
          <w:sz w:val="26"/>
          <w:szCs w:val="26"/>
        </w:rPr>
        <w:t>più parti derogato (in alcuni casi anche in</w:t>
      </w:r>
      <w:r w:rsidR="002B7EFC">
        <w:rPr>
          <w:bCs/>
          <w:iCs/>
          <w:sz w:val="26"/>
          <w:szCs w:val="26"/>
        </w:rPr>
        <w:t xml:space="preserve"> </w:t>
      </w:r>
      <w:r w:rsidR="002B7EFC" w:rsidRPr="002B7EFC">
        <w:rPr>
          <w:bCs/>
          <w:iCs/>
          <w:sz w:val="26"/>
          <w:szCs w:val="26"/>
        </w:rPr>
        <w:t>modo permanente) alla disciplina contenuta</w:t>
      </w:r>
      <w:r w:rsidR="002B7EFC">
        <w:rPr>
          <w:bCs/>
          <w:iCs/>
          <w:sz w:val="26"/>
          <w:szCs w:val="26"/>
        </w:rPr>
        <w:t xml:space="preserve"> </w:t>
      </w:r>
      <w:r w:rsidR="002B7EFC" w:rsidRPr="002B7EFC">
        <w:rPr>
          <w:bCs/>
          <w:iCs/>
          <w:sz w:val="26"/>
          <w:szCs w:val="26"/>
        </w:rPr>
        <w:t>nel codice dei contratti pubblici</w:t>
      </w:r>
      <w:r w:rsidR="002B7EFC">
        <w:rPr>
          <w:bCs/>
          <w:iCs/>
          <w:sz w:val="26"/>
          <w:szCs w:val="26"/>
        </w:rPr>
        <w:t xml:space="preserve"> e ne è pertanto derivato </w:t>
      </w:r>
      <w:r w:rsidR="002B7EFC" w:rsidRPr="002B7EFC">
        <w:rPr>
          <w:bCs/>
          <w:iCs/>
          <w:sz w:val="26"/>
          <w:szCs w:val="26"/>
        </w:rPr>
        <w:t xml:space="preserve">un quadro giuridico di settore </w:t>
      </w:r>
      <w:r w:rsidR="002B7EFC">
        <w:rPr>
          <w:bCs/>
          <w:iCs/>
          <w:sz w:val="26"/>
          <w:szCs w:val="26"/>
        </w:rPr>
        <w:t xml:space="preserve">in continua evoluzione e </w:t>
      </w:r>
      <w:r w:rsidR="002B7EFC" w:rsidRPr="002B7EFC">
        <w:rPr>
          <w:bCs/>
          <w:iCs/>
          <w:sz w:val="26"/>
          <w:szCs w:val="26"/>
        </w:rPr>
        <w:t>poco chiaro</w:t>
      </w:r>
      <w:r w:rsidR="002B7EFC">
        <w:rPr>
          <w:bCs/>
          <w:iCs/>
          <w:sz w:val="26"/>
          <w:szCs w:val="26"/>
        </w:rPr>
        <w:t>.</w:t>
      </w:r>
    </w:p>
    <w:p w14:paraId="7E2CEBEF" w14:textId="47E98CCF" w:rsidR="00936696" w:rsidRDefault="00936696" w:rsidP="002B7EFC">
      <w:pPr>
        <w:spacing w:after="120" w:line="24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Tra le esigenze evidenziate nei rapporti tra l’Italia e la UE nell’ambito dell’attuazione del NGEU e del PNRR è stata rilevata l’esigenza di una semplificazione della disciplina dei contratti pubblici al fine di </w:t>
      </w:r>
      <w:r w:rsidR="002B7EFC" w:rsidRPr="002B7EFC">
        <w:rPr>
          <w:bCs/>
          <w:iCs/>
          <w:sz w:val="26"/>
          <w:szCs w:val="26"/>
        </w:rPr>
        <w:t xml:space="preserve">favorire </w:t>
      </w:r>
      <w:r>
        <w:rPr>
          <w:bCs/>
          <w:iCs/>
          <w:sz w:val="26"/>
          <w:szCs w:val="26"/>
        </w:rPr>
        <w:t xml:space="preserve">e accompagnare </w:t>
      </w:r>
      <w:r w:rsidR="002B7EFC" w:rsidRPr="002B7EFC">
        <w:rPr>
          <w:bCs/>
          <w:iCs/>
          <w:sz w:val="26"/>
          <w:szCs w:val="26"/>
        </w:rPr>
        <w:t>la rapida ripresa de</w:t>
      </w:r>
      <w:r>
        <w:rPr>
          <w:bCs/>
          <w:iCs/>
          <w:sz w:val="26"/>
          <w:szCs w:val="26"/>
        </w:rPr>
        <w:t>ll’economia.</w:t>
      </w:r>
    </w:p>
    <w:p w14:paraId="4E77C741" w14:textId="44529F26" w:rsidR="00936696" w:rsidRDefault="002B7EFC" w:rsidP="00936696">
      <w:pPr>
        <w:spacing w:after="120" w:line="240" w:lineRule="auto"/>
        <w:jc w:val="both"/>
        <w:rPr>
          <w:bCs/>
          <w:iCs/>
          <w:sz w:val="26"/>
          <w:szCs w:val="26"/>
        </w:rPr>
      </w:pPr>
      <w:r w:rsidRPr="002B7EFC">
        <w:rPr>
          <w:bCs/>
          <w:iCs/>
          <w:sz w:val="26"/>
          <w:szCs w:val="26"/>
        </w:rPr>
        <w:t xml:space="preserve">La delega </w:t>
      </w:r>
      <w:r w:rsidR="00936696">
        <w:rPr>
          <w:bCs/>
          <w:iCs/>
          <w:sz w:val="26"/>
          <w:szCs w:val="26"/>
        </w:rPr>
        <w:t xml:space="preserve">oggetto della presente audizione </w:t>
      </w:r>
      <w:r w:rsidRPr="002B7EFC">
        <w:rPr>
          <w:bCs/>
          <w:iCs/>
          <w:sz w:val="26"/>
          <w:szCs w:val="26"/>
        </w:rPr>
        <w:t xml:space="preserve">è finalizzata a restituire </w:t>
      </w:r>
      <w:r w:rsidR="00936696">
        <w:rPr>
          <w:bCs/>
          <w:iCs/>
          <w:sz w:val="26"/>
          <w:szCs w:val="26"/>
        </w:rPr>
        <w:t xml:space="preserve">chiarezza e semplicità </w:t>
      </w:r>
      <w:r w:rsidRPr="002B7EFC">
        <w:rPr>
          <w:bCs/>
          <w:iCs/>
          <w:sz w:val="26"/>
          <w:szCs w:val="26"/>
        </w:rPr>
        <w:t xml:space="preserve">alle disposizioni codicistiche, </w:t>
      </w:r>
      <w:r w:rsidR="00936696">
        <w:rPr>
          <w:bCs/>
          <w:iCs/>
          <w:sz w:val="26"/>
          <w:szCs w:val="26"/>
        </w:rPr>
        <w:t>ridurre il peso della normativa</w:t>
      </w:r>
      <w:r w:rsidR="00F4218C">
        <w:rPr>
          <w:bCs/>
          <w:iCs/>
          <w:sz w:val="26"/>
          <w:szCs w:val="26"/>
        </w:rPr>
        <w:t xml:space="preserve"> e le norme non richieste dalle direttive comunitarie</w:t>
      </w:r>
      <w:r w:rsidR="00936696">
        <w:rPr>
          <w:bCs/>
          <w:iCs/>
          <w:sz w:val="26"/>
          <w:szCs w:val="26"/>
        </w:rPr>
        <w:t>, limita</w:t>
      </w:r>
      <w:r w:rsidR="00F4218C">
        <w:rPr>
          <w:bCs/>
          <w:iCs/>
          <w:sz w:val="26"/>
          <w:szCs w:val="26"/>
        </w:rPr>
        <w:t>re</w:t>
      </w:r>
      <w:r w:rsidR="00936696"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>il</w:t>
      </w:r>
      <w:r w:rsidR="00936696">
        <w:rPr>
          <w:bCs/>
          <w:iCs/>
          <w:sz w:val="26"/>
          <w:szCs w:val="26"/>
        </w:rPr>
        <w:t xml:space="preserve"> </w:t>
      </w:r>
      <w:r w:rsidRPr="002B7EFC">
        <w:rPr>
          <w:bCs/>
          <w:iCs/>
          <w:sz w:val="26"/>
          <w:szCs w:val="26"/>
        </w:rPr>
        <w:t>più possibile i rinvii alla normazione secondaria</w:t>
      </w:r>
      <w:r w:rsidR="00936696">
        <w:rPr>
          <w:bCs/>
          <w:iCs/>
          <w:sz w:val="26"/>
          <w:szCs w:val="26"/>
        </w:rPr>
        <w:t>, assicurare l’aderenza dell’ordinamento italiano all’ordinamento europeo relativamente ai punti più controversi come la materia delle concessioni</w:t>
      </w:r>
      <w:r w:rsidR="006F0572">
        <w:rPr>
          <w:bCs/>
          <w:iCs/>
          <w:sz w:val="26"/>
          <w:szCs w:val="26"/>
        </w:rPr>
        <w:t xml:space="preserve"> o quella del subappalto.</w:t>
      </w:r>
    </w:p>
    <w:p w14:paraId="6423E346" w14:textId="6AA0142D" w:rsidR="00936696" w:rsidRDefault="006F0572" w:rsidP="006F057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Uno dei passaggi essenziali per l’attuazione delle direttive europee sugli appalti pubblici è, senza alcun dubbio, la creazione di un sistema più strutturato e qualificato di stazioni appaltanti pubbliche e la definizione di un </w:t>
      </w:r>
      <w:r w:rsidR="00936696">
        <w:rPr>
          <w:sz w:val="26"/>
          <w:szCs w:val="26"/>
        </w:rPr>
        <w:t>nuovo sistema di qualificazione delle imprese.</w:t>
      </w:r>
    </w:p>
    <w:p w14:paraId="69C38ABF" w14:textId="526A4EC2" w:rsidR="00936696" w:rsidRDefault="00936696" w:rsidP="00936696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sempre più diffusa utilizzazione di piattaforme informatiche per la gestione degli appalti pubblici consente oggi di incrociare le informazioni sugli </w:t>
      </w:r>
      <w:r w:rsidRPr="0036294C">
        <w:rPr>
          <w:sz w:val="26"/>
          <w:szCs w:val="26"/>
        </w:rPr>
        <w:t>operatori economici iscritti in elenchi ufficiali di imprenditori, fornitori o prestatori di servizi o che siano in possesso di una certificazione rilasciata da organismi accreditati</w:t>
      </w:r>
      <w:r w:rsidR="006F057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Occorrerebbe pertanto coordinare le disposizioni relative alla </w:t>
      </w:r>
      <w:r w:rsidRPr="00C249E3">
        <w:rPr>
          <w:sz w:val="26"/>
          <w:szCs w:val="26"/>
        </w:rPr>
        <w:t xml:space="preserve">Banca dati centralizzata </w:t>
      </w:r>
      <w:r w:rsidR="006F0572">
        <w:rPr>
          <w:sz w:val="26"/>
          <w:szCs w:val="26"/>
        </w:rPr>
        <w:t xml:space="preserve">sugli appalti pubblici </w:t>
      </w:r>
      <w:r>
        <w:rPr>
          <w:sz w:val="26"/>
          <w:szCs w:val="26"/>
        </w:rPr>
        <w:t>in modo che siano accessibili alle stazioni appaltanti</w:t>
      </w:r>
      <w:r w:rsidRPr="00C249E3">
        <w:rPr>
          <w:sz w:val="26"/>
          <w:szCs w:val="26"/>
        </w:rPr>
        <w:t>.</w:t>
      </w:r>
    </w:p>
    <w:p w14:paraId="1542492C" w14:textId="6C83F29F" w:rsidR="002B7EFC" w:rsidRDefault="002B7EFC" w:rsidP="002B7EFC">
      <w:pPr>
        <w:spacing w:after="120" w:line="240" w:lineRule="auto"/>
        <w:jc w:val="both"/>
        <w:rPr>
          <w:bCs/>
          <w:i/>
          <w:sz w:val="26"/>
          <w:szCs w:val="26"/>
        </w:rPr>
      </w:pPr>
    </w:p>
    <w:p w14:paraId="1CFFC190" w14:textId="1AB17846" w:rsidR="00F60460" w:rsidRDefault="00F60460" w:rsidP="002B7EFC">
      <w:pPr>
        <w:spacing w:after="120" w:line="240" w:lineRule="auto"/>
        <w:jc w:val="both"/>
        <w:rPr>
          <w:bCs/>
          <w:i/>
          <w:sz w:val="26"/>
          <w:szCs w:val="26"/>
        </w:rPr>
      </w:pPr>
    </w:p>
    <w:p w14:paraId="255FC96F" w14:textId="77777777" w:rsidR="00F60460" w:rsidRPr="002B7EFC" w:rsidRDefault="00F60460" w:rsidP="002B7EFC">
      <w:pPr>
        <w:spacing w:after="120" w:line="240" w:lineRule="auto"/>
        <w:jc w:val="both"/>
        <w:rPr>
          <w:bCs/>
          <w:i/>
          <w:sz w:val="26"/>
          <w:szCs w:val="26"/>
        </w:rPr>
      </w:pPr>
    </w:p>
    <w:p w14:paraId="2AFDE8F7" w14:textId="1BFFA622" w:rsidR="002B7EFC" w:rsidRPr="0015573B" w:rsidRDefault="002B7EFC" w:rsidP="0015573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b/>
          <w:i/>
          <w:sz w:val="26"/>
          <w:szCs w:val="26"/>
        </w:rPr>
      </w:pPr>
      <w:r w:rsidRPr="0015573B">
        <w:rPr>
          <w:b/>
          <w:i/>
          <w:sz w:val="26"/>
          <w:szCs w:val="26"/>
        </w:rPr>
        <w:t xml:space="preserve">La creazione di un sistema qualificato di stazioni appaltanti </w:t>
      </w:r>
    </w:p>
    <w:p w14:paraId="4AA33E91" w14:textId="77777777" w:rsidR="00181ED1" w:rsidRDefault="00181ED1" w:rsidP="002B7EFC">
      <w:pPr>
        <w:spacing w:after="120" w:line="240" w:lineRule="auto"/>
        <w:jc w:val="both"/>
        <w:rPr>
          <w:sz w:val="26"/>
          <w:szCs w:val="26"/>
        </w:rPr>
      </w:pPr>
    </w:p>
    <w:p w14:paraId="69DF063F" w14:textId="10634037" w:rsidR="002B7EFC" w:rsidRDefault="002B7EFC" w:rsidP="002B7EFC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Uno dei passaggi essenziali per l’attuazione del nuovo codice e delle direttive europee sugli appalti pubblici è, senza alcun dubbio, la creazione di un sistema più strutturato e qualificato di stazioni appaltanti pubbliche.</w:t>
      </w:r>
    </w:p>
    <w:p w14:paraId="2BFF99C5" w14:textId="0C4DE688" w:rsidR="002B7EFC" w:rsidRPr="0066357C" w:rsidRDefault="002B7EFC" w:rsidP="002B7EFC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provvedimenti attuativi del Codice degli appalti in materia di qualificazione degli appalti non sono stati </w:t>
      </w:r>
      <w:r w:rsidR="002638B2">
        <w:rPr>
          <w:sz w:val="26"/>
          <w:szCs w:val="26"/>
        </w:rPr>
        <w:t xml:space="preserve">mai </w:t>
      </w:r>
      <w:r>
        <w:rPr>
          <w:sz w:val="26"/>
          <w:szCs w:val="26"/>
        </w:rPr>
        <w:t>approvati, ma la</w:t>
      </w:r>
      <w:r w:rsidRPr="0066357C">
        <w:rPr>
          <w:sz w:val="26"/>
          <w:szCs w:val="26"/>
        </w:rPr>
        <w:t xml:space="preserve"> riflessione sul conseguimento di una maggiore qualità complessiva delle procedure di appalto è al centro del dibattito nel nostro Paese ormai da qualche anno e poggia sull’esigenza, da un lato, di ridurre il numero delle stazioni appaltanti e, dall’altro lato, di accrescere le competenze di chi opera in questo settore, estremamente complesso e in grande trasformazione.</w:t>
      </w:r>
    </w:p>
    <w:p w14:paraId="502426A7" w14:textId="26C98573" w:rsidR="002638B2" w:rsidRDefault="002638B2" w:rsidP="002B7EFC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2B7EFC" w:rsidRPr="0066357C">
        <w:rPr>
          <w:sz w:val="26"/>
          <w:szCs w:val="26"/>
        </w:rPr>
        <w:t>el 2014 si è avviato un concreto processo di riduzione e centralizzazione degli affidamenti: l’art. 9, D.L. n. 66/2014 ha istituito presso l’ANAC l’elenco di 35 soggetti aggregatori: l’elenco contempla allo stato 32 soggetti aggregatori, ivi compresi la CONSIP, le centrali di committenza per ciascuna Regione o Provincia autonoma e i soggetti aggregatori di 8 Città metropolitane e 2 Province (Vicenza e Brescia).</w:t>
      </w:r>
      <w:r>
        <w:rPr>
          <w:sz w:val="26"/>
          <w:szCs w:val="26"/>
        </w:rPr>
        <w:t xml:space="preserve"> </w:t>
      </w:r>
    </w:p>
    <w:p w14:paraId="09C986D6" w14:textId="54391B99" w:rsidR="002638B2" w:rsidRPr="0066357C" w:rsidRDefault="002638B2" w:rsidP="002638B2">
      <w:pPr>
        <w:spacing w:after="120" w:line="240" w:lineRule="auto"/>
        <w:jc w:val="both"/>
        <w:rPr>
          <w:sz w:val="26"/>
          <w:szCs w:val="26"/>
        </w:rPr>
      </w:pPr>
      <w:r w:rsidRPr="0066357C">
        <w:rPr>
          <w:sz w:val="26"/>
          <w:szCs w:val="26"/>
        </w:rPr>
        <w:t xml:space="preserve">Restano fuori dalle attività dei soggetti aggregatori gli appalti di lavori pubblici degli enti locali e gli acquisti di beni e servizi non compresi nelle categorie merceologiche gestite dai soggetti aggregatori, la cui spesa ammonta a circa </w:t>
      </w:r>
      <w:r w:rsidR="00F4218C">
        <w:rPr>
          <w:sz w:val="26"/>
          <w:szCs w:val="26"/>
        </w:rPr>
        <w:t>40</w:t>
      </w:r>
      <w:r w:rsidRPr="0066357C">
        <w:rPr>
          <w:sz w:val="26"/>
          <w:szCs w:val="26"/>
        </w:rPr>
        <w:t xml:space="preserve"> miliardi di euro, su cui dovrebbe operare la strategia di qualificazione delle stazioni appaltanti prevista dal nuovo Codice Appalti.</w:t>
      </w:r>
    </w:p>
    <w:p w14:paraId="44AC009E" w14:textId="08A17E46" w:rsidR="002B7EFC" w:rsidRDefault="002638B2" w:rsidP="002638B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Sulla base delle esperienze realizzate </w:t>
      </w:r>
      <w:r w:rsidR="00F60460">
        <w:rPr>
          <w:sz w:val="26"/>
          <w:szCs w:val="26"/>
        </w:rPr>
        <w:t xml:space="preserve">in </w:t>
      </w:r>
      <w:r>
        <w:rPr>
          <w:sz w:val="26"/>
          <w:szCs w:val="26"/>
        </w:rPr>
        <w:t xml:space="preserve">53 Province l’istituzione di una stazione unica appaltante in ambito provinciale e metropolitano aiuta notevolmente </w:t>
      </w:r>
      <w:r w:rsidR="002B7EFC">
        <w:rPr>
          <w:sz w:val="26"/>
          <w:szCs w:val="26"/>
        </w:rPr>
        <w:t xml:space="preserve">i Comuni del territorio </w:t>
      </w:r>
      <w:r>
        <w:rPr>
          <w:sz w:val="26"/>
          <w:szCs w:val="26"/>
        </w:rPr>
        <w:t xml:space="preserve">nella gestione degli appalti </w:t>
      </w:r>
      <w:r w:rsidR="002B7EFC">
        <w:rPr>
          <w:sz w:val="26"/>
          <w:szCs w:val="26"/>
        </w:rPr>
        <w:t>pubblici</w:t>
      </w:r>
      <w:r w:rsidR="00F60460">
        <w:rPr>
          <w:sz w:val="26"/>
          <w:szCs w:val="26"/>
        </w:rPr>
        <w:t xml:space="preserve"> (</w:t>
      </w:r>
      <w:r w:rsidR="00F60460" w:rsidRPr="00F60460">
        <w:rPr>
          <w:sz w:val="26"/>
          <w:szCs w:val="26"/>
          <w:u w:val="single"/>
        </w:rPr>
        <w:t>cfr. allegati</w:t>
      </w:r>
      <w:r w:rsidR="00F60460">
        <w:rPr>
          <w:sz w:val="26"/>
          <w:szCs w:val="26"/>
        </w:rPr>
        <w:t>)</w:t>
      </w:r>
      <w:r w:rsidR="002B7EFC">
        <w:rPr>
          <w:sz w:val="26"/>
          <w:szCs w:val="26"/>
        </w:rPr>
        <w:t>.</w:t>
      </w:r>
    </w:p>
    <w:p w14:paraId="48EA126C" w14:textId="0400CF18" w:rsidR="002B7EFC" w:rsidRDefault="002B7EFC" w:rsidP="002638B2">
      <w:pPr>
        <w:spacing w:after="120" w:line="240" w:lineRule="auto"/>
        <w:jc w:val="both"/>
        <w:rPr>
          <w:b/>
          <w:sz w:val="26"/>
          <w:szCs w:val="26"/>
        </w:rPr>
      </w:pPr>
      <w:r w:rsidRPr="00B432F4">
        <w:rPr>
          <w:sz w:val="26"/>
          <w:szCs w:val="26"/>
        </w:rPr>
        <w:t xml:space="preserve">Per favorire la capacità di azione del governo locale occorre </w:t>
      </w:r>
      <w:r>
        <w:rPr>
          <w:sz w:val="26"/>
          <w:szCs w:val="26"/>
        </w:rPr>
        <w:t xml:space="preserve">perciò </w:t>
      </w:r>
      <w:r w:rsidRPr="00B432F4">
        <w:rPr>
          <w:sz w:val="26"/>
          <w:szCs w:val="26"/>
        </w:rPr>
        <w:t xml:space="preserve">superare le incertezze del quadro normativo nella materia degli appalti pubblici </w:t>
      </w:r>
      <w:r>
        <w:rPr>
          <w:sz w:val="26"/>
          <w:szCs w:val="26"/>
        </w:rPr>
        <w:t>e nell’assetto locale</w:t>
      </w:r>
      <w:r w:rsidR="002638B2">
        <w:rPr>
          <w:sz w:val="26"/>
          <w:szCs w:val="26"/>
        </w:rPr>
        <w:t xml:space="preserve"> attraverso </w:t>
      </w:r>
      <w:r w:rsidRPr="002D2F55">
        <w:rPr>
          <w:sz w:val="26"/>
          <w:szCs w:val="26"/>
        </w:rPr>
        <w:t xml:space="preserve">un’indicazione chiara </w:t>
      </w:r>
      <w:r>
        <w:rPr>
          <w:sz w:val="26"/>
          <w:szCs w:val="26"/>
        </w:rPr>
        <w:t xml:space="preserve">del legislatore </w:t>
      </w:r>
      <w:r w:rsidRPr="002D2F55">
        <w:rPr>
          <w:sz w:val="26"/>
          <w:szCs w:val="26"/>
        </w:rPr>
        <w:t>per favorire il processo di aggregazione degli acquisti dei Comuni non capoluogo di provincia</w:t>
      </w:r>
      <w:r>
        <w:rPr>
          <w:sz w:val="26"/>
          <w:szCs w:val="26"/>
        </w:rPr>
        <w:t xml:space="preserve">, </w:t>
      </w:r>
      <w:r w:rsidR="002638B2" w:rsidRPr="002638B2">
        <w:rPr>
          <w:b/>
          <w:bCs/>
          <w:sz w:val="26"/>
          <w:szCs w:val="26"/>
        </w:rPr>
        <w:t>una qualificazione di diritto de</w:t>
      </w:r>
      <w:r w:rsidRPr="002638B2">
        <w:rPr>
          <w:b/>
          <w:bCs/>
          <w:sz w:val="26"/>
          <w:szCs w:val="26"/>
        </w:rPr>
        <w:t>lle stazioni appaltanti delle Province e delle Città me</w:t>
      </w:r>
      <w:r w:rsidRPr="002D2F55">
        <w:rPr>
          <w:b/>
          <w:sz w:val="26"/>
          <w:szCs w:val="26"/>
        </w:rPr>
        <w:t>tropolitane</w:t>
      </w:r>
      <w:r w:rsidR="00F4218C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2638B2">
        <w:rPr>
          <w:b/>
          <w:sz w:val="26"/>
          <w:szCs w:val="26"/>
        </w:rPr>
        <w:t>superando il rinvio ad una normativa secondaria.</w:t>
      </w:r>
    </w:p>
    <w:p w14:paraId="2E158664" w14:textId="77777777" w:rsidR="0015573B" w:rsidRDefault="0015573B" w:rsidP="002638B2">
      <w:pPr>
        <w:spacing w:after="120" w:line="240" w:lineRule="auto"/>
        <w:jc w:val="both"/>
        <w:rPr>
          <w:sz w:val="26"/>
          <w:szCs w:val="26"/>
        </w:rPr>
      </w:pPr>
    </w:p>
    <w:p w14:paraId="16CC0711" w14:textId="0207E5A0" w:rsidR="0015573B" w:rsidRPr="0015573B" w:rsidRDefault="0015573B" w:rsidP="0015573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b/>
          <w:bCs/>
          <w:sz w:val="26"/>
          <w:szCs w:val="26"/>
        </w:rPr>
      </w:pPr>
      <w:r w:rsidRPr="0015573B">
        <w:rPr>
          <w:b/>
          <w:bCs/>
          <w:sz w:val="26"/>
          <w:szCs w:val="26"/>
        </w:rPr>
        <w:t>Il rafforzamento della capacità amministrativa e la sfida del PNRR</w:t>
      </w:r>
    </w:p>
    <w:p w14:paraId="7CE7259A" w14:textId="77777777" w:rsidR="00181ED1" w:rsidRDefault="00181ED1" w:rsidP="002638B2">
      <w:pPr>
        <w:spacing w:after="120" w:line="240" w:lineRule="auto"/>
        <w:jc w:val="both"/>
        <w:rPr>
          <w:sz w:val="26"/>
          <w:szCs w:val="26"/>
        </w:rPr>
      </w:pPr>
    </w:p>
    <w:p w14:paraId="08535231" w14:textId="73A4308A" w:rsidR="002638B2" w:rsidRDefault="002638B2" w:rsidP="002638B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Questa scelta del legislatore dovrebbe essere </w:t>
      </w:r>
      <w:r w:rsidRPr="002638B2">
        <w:rPr>
          <w:sz w:val="26"/>
          <w:szCs w:val="26"/>
        </w:rPr>
        <w:t>accompagnata dal</w:t>
      </w:r>
      <w:r>
        <w:rPr>
          <w:b/>
          <w:sz w:val="26"/>
          <w:szCs w:val="26"/>
        </w:rPr>
        <w:t xml:space="preserve"> </w:t>
      </w:r>
      <w:r w:rsidR="002B7EFC" w:rsidRPr="00F4218C">
        <w:rPr>
          <w:b/>
          <w:bCs/>
          <w:sz w:val="26"/>
          <w:szCs w:val="26"/>
        </w:rPr>
        <w:t>rafforzamento dell</w:t>
      </w:r>
      <w:r w:rsidR="00F4218C" w:rsidRPr="00F4218C">
        <w:rPr>
          <w:b/>
          <w:bCs/>
          <w:sz w:val="26"/>
          <w:szCs w:val="26"/>
        </w:rPr>
        <w:t xml:space="preserve">a capacità amministrativa </w:t>
      </w:r>
      <w:r w:rsidR="002B7EFC" w:rsidRPr="00F4218C">
        <w:rPr>
          <w:b/>
          <w:bCs/>
          <w:sz w:val="26"/>
          <w:szCs w:val="26"/>
        </w:rPr>
        <w:t xml:space="preserve">e strutture tecniche </w:t>
      </w:r>
      <w:r w:rsidR="00F4218C" w:rsidRPr="00F4218C">
        <w:rPr>
          <w:b/>
          <w:bCs/>
          <w:sz w:val="26"/>
          <w:szCs w:val="26"/>
        </w:rPr>
        <w:t xml:space="preserve">in ambito provinciale e metropolitano </w:t>
      </w:r>
      <w:r w:rsidR="002B7EFC" w:rsidRPr="00F4218C">
        <w:rPr>
          <w:b/>
          <w:bCs/>
          <w:sz w:val="26"/>
          <w:szCs w:val="26"/>
        </w:rPr>
        <w:t>necessarie per progettare, aggiudicare, realizzare gli appalti e monitorare i tempi di attuazione degli investimenti</w:t>
      </w:r>
      <w:r w:rsidR="00F4218C" w:rsidRPr="00F4218C">
        <w:rPr>
          <w:b/>
          <w:bCs/>
          <w:sz w:val="26"/>
          <w:szCs w:val="26"/>
        </w:rPr>
        <w:t xml:space="preserve"> legati all’attuazione del PNRR</w:t>
      </w:r>
      <w:r>
        <w:rPr>
          <w:sz w:val="26"/>
          <w:szCs w:val="26"/>
        </w:rPr>
        <w:t>.</w:t>
      </w:r>
    </w:p>
    <w:p w14:paraId="1779D851" w14:textId="7F783AB2" w:rsidR="002B7EFC" w:rsidRDefault="00F4218C" w:rsidP="002638B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2B7EFC" w:rsidRPr="00B607CA">
        <w:rPr>
          <w:sz w:val="26"/>
          <w:szCs w:val="26"/>
        </w:rPr>
        <w:t>e Province e le Città metropolitane possono divenire un volano di investimento non solo relativamente alle funzioni di loro competenza, ma anche a supporto delle iniziative dei Comuni</w:t>
      </w:r>
      <w:r>
        <w:rPr>
          <w:sz w:val="26"/>
          <w:szCs w:val="26"/>
        </w:rPr>
        <w:t xml:space="preserve"> più piccoli</w:t>
      </w:r>
      <w:r w:rsidR="002B7EFC" w:rsidRPr="00B607CA">
        <w:rPr>
          <w:sz w:val="26"/>
          <w:szCs w:val="26"/>
        </w:rPr>
        <w:t>, per migliorare gli interventi, le prestazioni e i servizi di tutto il sistema del governo locale.</w:t>
      </w:r>
    </w:p>
    <w:p w14:paraId="7A2879B3" w14:textId="3B862218" w:rsidR="00744381" w:rsidRDefault="00744381" w:rsidP="002638B2">
      <w:pPr>
        <w:spacing w:after="120" w:line="240" w:lineRule="auto"/>
        <w:jc w:val="both"/>
        <w:rPr>
          <w:sz w:val="26"/>
          <w:szCs w:val="26"/>
        </w:rPr>
      </w:pPr>
      <w:r w:rsidRPr="00744381">
        <w:rPr>
          <w:sz w:val="26"/>
          <w:szCs w:val="26"/>
        </w:rPr>
        <w:t xml:space="preserve">Occorre supportare le stazioni uniche appaltanti provinciali con Centri di competenza per </w:t>
      </w:r>
      <w:r w:rsidRPr="00744381">
        <w:rPr>
          <w:sz w:val="26"/>
          <w:szCs w:val="26"/>
        </w:rPr>
        <w:br/>
        <w:t xml:space="preserve">l’innovazione che mettano in rete e a disposizione di tutti gli enti locali piattaforme </w:t>
      </w:r>
      <w:r w:rsidRPr="00744381">
        <w:rPr>
          <w:sz w:val="26"/>
          <w:szCs w:val="26"/>
        </w:rPr>
        <w:br/>
        <w:t xml:space="preserve">tecnologiche e servizi in grado di favorire la raccolta dei fabbisogni e la digitalizzazione dei </w:t>
      </w:r>
      <w:r w:rsidRPr="00744381">
        <w:rPr>
          <w:sz w:val="26"/>
          <w:szCs w:val="26"/>
        </w:rPr>
        <w:br/>
        <w:t xml:space="preserve">processi di programmazione, gestione, esecuzione e monitoraggio degli appalti e degli </w:t>
      </w:r>
      <w:r w:rsidRPr="00744381">
        <w:rPr>
          <w:sz w:val="26"/>
          <w:szCs w:val="26"/>
        </w:rPr>
        <w:br/>
        <w:t xml:space="preserve">investimenti pubblici locali, promuovendo processi di cooperazione e di trasformazione </w:t>
      </w:r>
      <w:r w:rsidRPr="00744381">
        <w:rPr>
          <w:sz w:val="26"/>
          <w:szCs w:val="26"/>
        </w:rPr>
        <w:br/>
        <w:t xml:space="preserve">digitale di tutto il sistema di governo locale. </w:t>
      </w:r>
    </w:p>
    <w:p w14:paraId="5117D6C5" w14:textId="2AF6A036" w:rsidR="00744381" w:rsidRDefault="00744381" w:rsidP="002638B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ruolo che d’altronde è stato riconosciuto dal Governo nel DL 77/21, il decreto-legge sulla Governance e sulle semplificazioni del PNRR, che ha dato il via all’attuazione del Piano, nel quale si ristabilisce l’obbligo per i Comuni non capoluogo di riferirsi alle </w:t>
      </w:r>
      <w:r w:rsidRPr="00744381">
        <w:rPr>
          <w:sz w:val="26"/>
          <w:szCs w:val="26"/>
        </w:rPr>
        <w:t>stazioni appaltanti di Province, C</w:t>
      </w:r>
      <w:r>
        <w:rPr>
          <w:sz w:val="26"/>
          <w:szCs w:val="26"/>
        </w:rPr>
        <w:t xml:space="preserve">ittà </w:t>
      </w:r>
      <w:r w:rsidRPr="00744381">
        <w:rPr>
          <w:sz w:val="26"/>
          <w:szCs w:val="26"/>
        </w:rPr>
        <w:t>M</w:t>
      </w:r>
      <w:r>
        <w:rPr>
          <w:sz w:val="26"/>
          <w:szCs w:val="26"/>
        </w:rPr>
        <w:t>etropolitani</w:t>
      </w:r>
      <w:r w:rsidRPr="00744381">
        <w:rPr>
          <w:sz w:val="26"/>
          <w:szCs w:val="26"/>
        </w:rPr>
        <w:t xml:space="preserve"> e Comuni</w:t>
      </w:r>
      <w:r>
        <w:rPr>
          <w:sz w:val="26"/>
          <w:szCs w:val="26"/>
        </w:rPr>
        <w:t xml:space="preserve"> </w:t>
      </w:r>
      <w:r w:rsidRPr="00744381">
        <w:rPr>
          <w:sz w:val="26"/>
          <w:szCs w:val="26"/>
        </w:rPr>
        <w:t>capoluogo,</w:t>
      </w:r>
      <w:r>
        <w:rPr>
          <w:sz w:val="26"/>
          <w:szCs w:val="26"/>
        </w:rPr>
        <w:t xml:space="preserve"> per </w:t>
      </w:r>
      <w:r w:rsidRPr="00744381">
        <w:rPr>
          <w:sz w:val="26"/>
          <w:szCs w:val="26"/>
        </w:rPr>
        <w:t>le</w:t>
      </w:r>
      <w:r>
        <w:rPr>
          <w:sz w:val="26"/>
          <w:szCs w:val="26"/>
        </w:rPr>
        <w:t xml:space="preserve"> </w:t>
      </w:r>
      <w:r w:rsidRPr="00744381">
        <w:rPr>
          <w:sz w:val="26"/>
          <w:szCs w:val="26"/>
        </w:rPr>
        <w:t>procedure afferenti alle opere PNRR e PNC</w:t>
      </w:r>
      <w:r>
        <w:rPr>
          <w:sz w:val="26"/>
          <w:szCs w:val="26"/>
        </w:rPr>
        <w:t>.</w:t>
      </w:r>
    </w:p>
    <w:p w14:paraId="4270B1C1" w14:textId="169E4709" w:rsidR="00744381" w:rsidRDefault="00744381" w:rsidP="002638B2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È necessario per questo</w:t>
      </w:r>
      <w:r w:rsidRPr="00744381">
        <w:rPr>
          <w:sz w:val="26"/>
          <w:szCs w:val="26"/>
        </w:rPr>
        <w:t xml:space="preserve"> </w:t>
      </w:r>
      <w:r w:rsidRPr="00181ED1">
        <w:rPr>
          <w:b/>
          <w:bCs/>
          <w:sz w:val="26"/>
          <w:szCs w:val="26"/>
        </w:rPr>
        <w:t>rafforzare la capacità tecnica e progettuale delle Stazioni Uniche Appaltanti delle Province e delle Città metropolitane, valorizzando queste strutture anche come Centri unici di Competenza e progettazione al servizio dei Comuni e di tutte le istituzioni del territorio</w:t>
      </w:r>
      <w:r w:rsidRPr="0074438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Servono </w:t>
      </w:r>
      <w:r w:rsidRPr="00744381">
        <w:rPr>
          <w:sz w:val="26"/>
          <w:szCs w:val="26"/>
        </w:rPr>
        <w:t>assunzioni mirate di personale altamente qualificato che consenta alle Province di reclutare figure tecniche</w:t>
      </w:r>
      <w:r>
        <w:rPr>
          <w:sz w:val="26"/>
          <w:szCs w:val="26"/>
        </w:rPr>
        <w:t>: un’operazione</w:t>
      </w:r>
      <w:r w:rsidRPr="00744381">
        <w:rPr>
          <w:sz w:val="26"/>
          <w:szCs w:val="26"/>
        </w:rPr>
        <w:t xml:space="preserve"> strategica, considerata la spinta agli investimenti pubblici che bisognerà imprimere al Paese</w:t>
      </w:r>
      <w:r>
        <w:rPr>
          <w:sz w:val="26"/>
          <w:szCs w:val="26"/>
        </w:rPr>
        <w:t>.</w:t>
      </w:r>
    </w:p>
    <w:p w14:paraId="5521C1A9" w14:textId="5B4D320E" w:rsidR="00744381" w:rsidRPr="00B607CA" w:rsidRDefault="00744381" w:rsidP="002638B2">
      <w:pPr>
        <w:spacing w:after="120" w:line="240" w:lineRule="auto"/>
        <w:jc w:val="both"/>
        <w:rPr>
          <w:sz w:val="26"/>
          <w:szCs w:val="26"/>
        </w:rPr>
      </w:pPr>
    </w:p>
    <w:sectPr w:rsidR="00744381" w:rsidRPr="00B60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203"/>
    <w:multiLevelType w:val="hybridMultilevel"/>
    <w:tmpl w:val="0D4A3E62"/>
    <w:lvl w:ilvl="0" w:tplc="FEA0C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5447"/>
    <w:multiLevelType w:val="hybridMultilevel"/>
    <w:tmpl w:val="F084B590"/>
    <w:lvl w:ilvl="0" w:tplc="5D96D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331EB"/>
    <w:multiLevelType w:val="hybridMultilevel"/>
    <w:tmpl w:val="67E092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FC"/>
    <w:rsid w:val="000F381D"/>
    <w:rsid w:val="0015573B"/>
    <w:rsid w:val="00181ED1"/>
    <w:rsid w:val="002638B2"/>
    <w:rsid w:val="002B7EFC"/>
    <w:rsid w:val="006F0572"/>
    <w:rsid w:val="00703484"/>
    <w:rsid w:val="00744381"/>
    <w:rsid w:val="00936696"/>
    <w:rsid w:val="00CA4958"/>
    <w:rsid w:val="00F4218C"/>
    <w:rsid w:val="00F6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2195"/>
  <w15:chartTrackingRefBased/>
  <w15:docId w15:val="{2E78A133-0194-4101-AFA5-BE0ECDAA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F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7EFC"/>
    <w:pPr>
      <w:suppressAutoHyphens w:val="0"/>
      <w:ind w:left="720"/>
      <w:contextualSpacing/>
    </w:pPr>
  </w:style>
  <w:style w:type="character" w:customStyle="1" w:styleId="markedcontent">
    <w:name w:val="markedcontent"/>
    <w:basedOn w:val="Carpredefinitoparagrafo"/>
    <w:rsid w:val="0074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Palombelli</dc:creator>
  <cp:keywords/>
  <dc:description/>
  <cp:lastModifiedBy>Barbara Perluigi</cp:lastModifiedBy>
  <cp:revision>2</cp:revision>
  <cp:lastPrinted>2021-10-20T11:36:00Z</cp:lastPrinted>
  <dcterms:created xsi:type="dcterms:W3CDTF">2021-10-20T11:44:00Z</dcterms:created>
  <dcterms:modified xsi:type="dcterms:W3CDTF">2021-10-20T11:44:00Z</dcterms:modified>
</cp:coreProperties>
</file>