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80186" w14:textId="77777777" w:rsidR="008B0D83" w:rsidRPr="008B0D83" w:rsidRDefault="008B0D83" w:rsidP="008B0D83">
      <w:pPr>
        <w:shd w:val="clear" w:color="auto" w:fill="FFFFFF"/>
        <w:spacing w:after="0" w:line="240" w:lineRule="auto"/>
        <w:rPr>
          <w:rFonts w:ascii="Verdana" w:eastAsia="Times New Roman" w:hAnsi="Verdana" w:cs="Times New Roman"/>
          <w:b/>
          <w:bCs/>
          <w:color w:val="686868"/>
          <w:sz w:val="20"/>
          <w:szCs w:val="20"/>
          <w:lang w:eastAsia="it-IT"/>
        </w:rPr>
      </w:pPr>
      <w:r w:rsidRPr="008B0D83">
        <w:rPr>
          <w:rFonts w:ascii="Verdana" w:eastAsia="Times New Roman" w:hAnsi="Verdana" w:cs="Times New Roman"/>
          <w:b/>
          <w:bCs/>
          <w:color w:val="686868"/>
          <w:sz w:val="20"/>
          <w:szCs w:val="20"/>
          <w:lang w:eastAsia="it-IT"/>
        </w:rPr>
        <w:t>D.L. 25/05/2021, n. 73</w:t>
      </w:r>
    </w:p>
    <w:p w14:paraId="321F636C" w14:textId="77777777" w:rsidR="008B0D83" w:rsidRPr="008B0D83" w:rsidRDefault="008B0D83" w:rsidP="008B0D83">
      <w:pPr>
        <w:shd w:val="clear" w:color="auto" w:fill="FFFFFF"/>
        <w:spacing w:after="0" w:line="240" w:lineRule="auto"/>
        <w:rPr>
          <w:rFonts w:ascii="Verdana" w:eastAsia="Times New Roman" w:hAnsi="Verdana" w:cs="Times New Roman"/>
          <w:b/>
          <w:bCs/>
          <w:color w:val="686868"/>
          <w:sz w:val="20"/>
          <w:szCs w:val="20"/>
          <w:lang w:eastAsia="it-IT"/>
        </w:rPr>
      </w:pPr>
      <w:r w:rsidRPr="008B0D83">
        <w:rPr>
          <w:rFonts w:ascii="Verdana" w:eastAsia="Times New Roman" w:hAnsi="Verdana" w:cs="Times New Roman"/>
          <w:b/>
          <w:bCs/>
          <w:color w:val="686868"/>
          <w:sz w:val="20"/>
          <w:szCs w:val="20"/>
          <w:lang w:eastAsia="it-IT"/>
        </w:rPr>
        <w:t>Misure urgenti connesse all'emergenza da COVID-19, per le imprese, il lavoro, i giovani, la salute e i servizi territoriali.</w:t>
      </w:r>
    </w:p>
    <w:p w14:paraId="7935F5BB" w14:textId="77777777" w:rsidR="008B0D83" w:rsidRPr="008B0D83" w:rsidRDefault="008B0D83" w:rsidP="008B0D83">
      <w:pPr>
        <w:shd w:val="clear" w:color="auto" w:fill="FFFFFF"/>
        <w:spacing w:line="240" w:lineRule="auto"/>
        <w:rPr>
          <w:rFonts w:ascii="Verdana" w:eastAsia="Times New Roman" w:hAnsi="Verdana" w:cs="Times New Roman"/>
          <w:b/>
          <w:bCs/>
          <w:color w:val="686868"/>
          <w:sz w:val="20"/>
          <w:szCs w:val="20"/>
          <w:lang w:eastAsia="it-IT"/>
        </w:rPr>
      </w:pPr>
      <w:r w:rsidRPr="008B0D83">
        <w:rPr>
          <w:rFonts w:ascii="Verdana" w:eastAsia="Times New Roman" w:hAnsi="Verdana" w:cs="Times New Roman"/>
          <w:b/>
          <w:bCs/>
          <w:color w:val="686868"/>
          <w:sz w:val="20"/>
          <w:szCs w:val="20"/>
          <w:lang w:eastAsia="it-IT"/>
        </w:rPr>
        <w:t xml:space="preserve">Pubblicato nella </w:t>
      </w:r>
      <w:proofErr w:type="spellStart"/>
      <w:r w:rsidRPr="008B0D83">
        <w:rPr>
          <w:rFonts w:ascii="Verdana" w:eastAsia="Times New Roman" w:hAnsi="Verdana" w:cs="Times New Roman"/>
          <w:b/>
          <w:bCs/>
          <w:color w:val="686868"/>
          <w:sz w:val="20"/>
          <w:szCs w:val="20"/>
          <w:lang w:eastAsia="it-IT"/>
        </w:rPr>
        <w:t>Gazz</w:t>
      </w:r>
      <w:proofErr w:type="spellEnd"/>
      <w:r w:rsidRPr="008B0D83">
        <w:rPr>
          <w:rFonts w:ascii="Verdana" w:eastAsia="Times New Roman" w:hAnsi="Verdana" w:cs="Times New Roman"/>
          <w:b/>
          <w:bCs/>
          <w:color w:val="686868"/>
          <w:sz w:val="20"/>
          <w:szCs w:val="20"/>
          <w:lang w:eastAsia="it-IT"/>
        </w:rPr>
        <w:t>. Uff. 25 maggio 2021, n. 123.</w:t>
      </w:r>
    </w:p>
    <w:p w14:paraId="2620FC6C" w14:textId="77777777" w:rsidR="008B0D83" w:rsidRPr="008B0D83" w:rsidRDefault="008B0D83" w:rsidP="008B0D83">
      <w:pPr>
        <w:shd w:val="clear" w:color="auto" w:fill="FFFFFF"/>
        <w:spacing w:after="45" w:line="240" w:lineRule="auto"/>
        <w:textAlignment w:val="baseline"/>
        <w:rPr>
          <w:rFonts w:ascii="Verdana" w:eastAsia="Times New Roman" w:hAnsi="Verdana" w:cs="Times New Roman"/>
          <w:color w:val="686868"/>
          <w:sz w:val="20"/>
          <w:szCs w:val="20"/>
          <w:lang w:eastAsia="it-IT"/>
        </w:rPr>
      </w:pPr>
      <w:r w:rsidRPr="008B0D83">
        <w:rPr>
          <w:rFonts w:ascii="Verdana" w:eastAsia="Times New Roman" w:hAnsi="Verdana" w:cs="Times New Roman"/>
          <w:b/>
          <w:bCs/>
          <w:color w:val="686868"/>
          <w:sz w:val="20"/>
          <w:szCs w:val="20"/>
          <w:lang w:eastAsia="it-IT"/>
        </w:rPr>
        <w:t>Art. 1-septies.</w:t>
      </w:r>
      <w:r w:rsidRPr="008B0D83">
        <w:rPr>
          <w:rFonts w:ascii="Verdana" w:eastAsia="Times New Roman" w:hAnsi="Verdana" w:cs="Times New Roman"/>
          <w:color w:val="686868"/>
          <w:sz w:val="20"/>
          <w:szCs w:val="20"/>
          <w:lang w:eastAsia="it-IT"/>
        </w:rPr>
        <w:t> </w:t>
      </w:r>
      <w:r w:rsidRPr="008B0D83">
        <w:rPr>
          <w:rFonts w:ascii="Verdana" w:eastAsia="Times New Roman" w:hAnsi="Verdana" w:cs="Times New Roman"/>
          <w:b/>
          <w:bCs/>
          <w:color w:val="686868"/>
          <w:sz w:val="20"/>
          <w:szCs w:val="20"/>
          <w:lang w:eastAsia="it-IT"/>
        </w:rPr>
        <w:t>Disposizioni urgenti in materia di revisione dei prezzi dei materiali nei contratti pubblici </w:t>
      </w:r>
      <w:bookmarkStart w:id="0" w:name="20up"/>
      <w:r w:rsidRPr="008B0D83">
        <w:rPr>
          <w:rFonts w:ascii="Verdana" w:eastAsia="Times New Roman" w:hAnsi="Verdana" w:cs="Times New Roman"/>
          <w:b/>
          <w:bCs/>
          <w:color w:val="686868"/>
          <w:sz w:val="20"/>
          <w:szCs w:val="20"/>
          <w:lang w:eastAsia="it-IT"/>
        </w:rPr>
        <w:fldChar w:fldCharType="begin"/>
      </w:r>
      <w:r w:rsidRPr="008B0D83">
        <w:rPr>
          <w:rFonts w:ascii="Verdana" w:eastAsia="Times New Roman" w:hAnsi="Verdana" w:cs="Times New Roman"/>
          <w:b/>
          <w:bCs/>
          <w:color w:val="686868"/>
          <w:sz w:val="20"/>
          <w:szCs w:val="20"/>
          <w:lang w:eastAsia="it-IT"/>
        </w:rPr>
        <w:instrText xml:space="preserve"> HYPERLINK "javascript:wrap.link_replacer.scroll('20')" </w:instrText>
      </w:r>
      <w:r w:rsidRPr="008B0D83">
        <w:rPr>
          <w:rFonts w:ascii="Verdana" w:eastAsia="Times New Roman" w:hAnsi="Verdana" w:cs="Times New Roman"/>
          <w:b/>
          <w:bCs/>
          <w:color w:val="686868"/>
          <w:sz w:val="20"/>
          <w:szCs w:val="20"/>
          <w:lang w:eastAsia="it-IT"/>
        </w:rPr>
        <w:fldChar w:fldCharType="separate"/>
      </w:r>
      <w:r w:rsidRPr="008B0D83">
        <w:rPr>
          <w:rFonts w:ascii="Verdana" w:eastAsia="Times New Roman" w:hAnsi="Verdana" w:cs="Times New Roman"/>
          <w:color w:val="67AF34"/>
          <w:sz w:val="16"/>
          <w:szCs w:val="16"/>
          <w:u w:val="single"/>
          <w:vertAlign w:val="superscript"/>
          <w:lang w:eastAsia="it-IT"/>
        </w:rPr>
        <w:t>(20)</w:t>
      </w:r>
      <w:r w:rsidRPr="008B0D83">
        <w:rPr>
          <w:rFonts w:ascii="Verdana" w:eastAsia="Times New Roman" w:hAnsi="Verdana" w:cs="Times New Roman"/>
          <w:b/>
          <w:bCs/>
          <w:color w:val="686868"/>
          <w:sz w:val="20"/>
          <w:szCs w:val="20"/>
          <w:lang w:eastAsia="it-IT"/>
        </w:rPr>
        <w:fldChar w:fldCharType="end"/>
      </w:r>
      <w:bookmarkEnd w:id="0"/>
    </w:p>
    <w:p w14:paraId="5A808DE1" w14:textId="77777777" w:rsidR="008B0D83" w:rsidRPr="008B0D83" w:rsidRDefault="008B0D83" w:rsidP="008B0D83">
      <w:pPr>
        <w:spacing w:after="0" w:line="240" w:lineRule="auto"/>
        <w:rPr>
          <w:rFonts w:ascii="Times New Roman" w:eastAsia="Times New Roman" w:hAnsi="Times New Roman" w:cs="Times New Roman"/>
          <w:sz w:val="24"/>
          <w:szCs w:val="24"/>
          <w:lang w:eastAsia="it-IT"/>
        </w:rPr>
      </w:pPr>
      <w:r w:rsidRPr="008B0D83">
        <w:rPr>
          <w:rFonts w:ascii="Verdana" w:eastAsia="Times New Roman" w:hAnsi="Verdana" w:cs="Times New Roman"/>
          <w:b/>
          <w:bCs/>
          <w:color w:val="686868"/>
          <w:sz w:val="20"/>
          <w:szCs w:val="20"/>
          <w:shd w:val="clear" w:color="auto" w:fill="FFFFFF"/>
          <w:lang w:eastAsia="it-IT"/>
        </w:rPr>
        <w:t>In vigore dal 10 novembre 2021</w:t>
      </w:r>
    </w:p>
    <w:p w14:paraId="10CFD7FE" w14:textId="77777777" w:rsidR="008B0D83" w:rsidRPr="008B0D83" w:rsidRDefault="008B0D83" w:rsidP="008B0D83">
      <w:pPr>
        <w:shd w:val="clear" w:color="auto" w:fill="FFFFFF"/>
        <w:spacing w:after="45" w:line="240" w:lineRule="auto"/>
        <w:jc w:val="both"/>
        <w:textAlignment w:val="baseline"/>
        <w:rPr>
          <w:rFonts w:ascii="Verdana" w:eastAsia="Times New Roman" w:hAnsi="Verdana" w:cs="Times New Roman"/>
          <w:color w:val="686868"/>
          <w:sz w:val="20"/>
          <w:szCs w:val="20"/>
          <w:lang w:eastAsia="it-IT"/>
        </w:rPr>
      </w:pPr>
      <w:r w:rsidRPr="008B0D83">
        <w:rPr>
          <w:rFonts w:ascii="Verdana" w:eastAsia="Times New Roman" w:hAnsi="Verdana" w:cs="Times New Roman"/>
          <w:color w:val="686868"/>
          <w:sz w:val="20"/>
          <w:szCs w:val="20"/>
          <w:lang w:eastAsia="it-IT"/>
        </w:rPr>
        <w:t>1. Per fronteggiare gli aumenti eccezionali dei prezzi di alcuni materiali da costruzione verificatisi nel primo semestre dell'anno 2021, per i contratti in corso di esecuzione alla data di entrata in vigore della legge di conversione del presente decreto, il Ministero delle infrastrutture e della mobilità sostenibili rileva, entro il 31 ottobre 2021, con proprio decreto, le variazioni percentuali, in aumento o in diminuzione, superiori all'8 per cento, verificatesi nel primo semestre dell'anno 2021, dei singoli prezzi dei materiali da costruzione più significativi. </w:t>
      </w:r>
      <w:bookmarkStart w:id="1" w:name="23up"/>
      <w:r w:rsidRPr="008B0D83">
        <w:rPr>
          <w:rFonts w:ascii="Verdana" w:eastAsia="Times New Roman" w:hAnsi="Verdana" w:cs="Times New Roman"/>
          <w:color w:val="686868"/>
          <w:sz w:val="20"/>
          <w:szCs w:val="20"/>
          <w:lang w:eastAsia="it-IT"/>
        </w:rPr>
        <w:fldChar w:fldCharType="begin"/>
      </w:r>
      <w:r w:rsidRPr="008B0D83">
        <w:rPr>
          <w:rFonts w:ascii="Verdana" w:eastAsia="Times New Roman" w:hAnsi="Verdana" w:cs="Times New Roman"/>
          <w:color w:val="686868"/>
          <w:sz w:val="20"/>
          <w:szCs w:val="20"/>
          <w:lang w:eastAsia="it-IT"/>
        </w:rPr>
        <w:instrText xml:space="preserve"> HYPERLINK "javascript:wrap.link_replacer.scroll('23')" </w:instrText>
      </w:r>
      <w:r w:rsidRPr="008B0D83">
        <w:rPr>
          <w:rFonts w:ascii="Verdana" w:eastAsia="Times New Roman" w:hAnsi="Verdana" w:cs="Times New Roman"/>
          <w:color w:val="686868"/>
          <w:sz w:val="20"/>
          <w:szCs w:val="20"/>
          <w:lang w:eastAsia="it-IT"/>
        </w:rPr>
        <w:fldChar w:fldCharType="separate"/>
      </w:r>
      <w:r w:rsidRPr="008B0D83">
        <w:rPr>
          <w:rFonts w:ascii="Verdana" w:eastAsia="Times New Roman" w:hAnsi="Verdana" w:cs="Times New Roman"/>
          <w:color w:val="67AF34"/>
          <w:sz w:val="16"/>
          <w:szCs w:val="16"/>
          <w:u w:val="single"/>
          <w:vertAlign w:val="superscript"/>
          <w:lang w:eastAsia="it-IT"/>
        </w:rPr>
        <w:t>(23)</w:t>
      </w:r>
      <w:r w:rsidRPr="008B0D83">
        <w:rPr>
          <w:rFonts w:ascii="Verdana" w:eastAsia="Times New Roman" w:hAnsi="Verdana" w:cs="Times New Roman"/>
          <w:color w:val="686868"/>
          <w:sz w:val="20"/>
          <w:szCs w:val="20"/>
          <w:lang w:eastAsia="it-IT"/>
        </w:rPr>
        <w:fldChar w:fldCharType="end"/>
      </w:r>
      <w:bookmarkEnd w:id="1"/>
    </w:p>
    <w:p w14:paraId="109DEA4B" w14:textId="77777777" w:rsidR="008B0D83" w:rsidRPr="008B0D83" w:rsidRDefault="008B0D83" w:rsidP="008B0D83">
      <w:pPr>
        <w:shd w:val="clear" w:color="auto" w:fill="FFFFFF"/>
        <w:spacing w:after="45" w:line="240" w:lineRule="auto"/>
        <w:jc w:val="both"/>
        <w:textAlignment w:val="baseline"/>
        <w:rPr>
          <w:rFonts w:ascii="Verdana" w:eastAsia="Times New Roman" w:hAnsi="Verdana" w:cs="Times New Roman"/>
          <w:color w:val="686868"/>
          <w:sz w:val="20"/>
          <w:szCs w:val="20"/>
          <w:lang w:eastAsia="it-IT"/>
        </w:rPr>
      </w:pPr>
      <w:r w:rsidRPr="008B0D83">
        <w:rPr>
          <w:rFonts w:ascii="Verdana" w:eastAsia="Times New Roman" w:hAnsi="Verdana" w:cs="Times New Roman"/>
          <w:color w:val="686868"/>
          <w:sz w:val="20"/>
          <w:szCs w:val="20"/>
          <w:lang w:eastAsia="it-IT"/>
        </w:rPr>
        <w:t>2. Per i materiali da costruzione di cui al comma 1 si procede a compensazioni, in aumento o in diminuzione, nei limiti di cui ai commi 3, 4, 5 e 6 del presente articolo, anche in deroga a quanto previsto dall'</w:t>
      </w:r>
      <w:hyperlink r:id="rId4" w:anchor="id=10LX0000401301ART134,__m=document" w:history="1">
        <w:r w:rsidRPr="008B0D83">
          <w:rPr>
            <w:rFonts w:ascii="Verdana" w:eastAsia="Times New Roman" w:hAnsi="Verdana" w:cs="Times New Roman"/>
            <w:i/>
            <w:iCs/>
            <w:color w:val="67AF34"/>
            <w:sz w:val="20"/>
            <w:szCs w:val="20"/>
            <w:lang w:eastAsia="it-IT"/>
          </w:rPr>
          <w:t>articolo 133, commi 4, 5, 6 e 6-bis, del codice dei contratti pubblici</w:t>
        </w:r>
      </w:hyperlink>
      <w:r w:rsidRPr="008B0D83">
        <w:rPr>
          <w:rFonts w:ascii="Verdana" w:eastAsia="Times New Roman" w:hAnsi="Verdana" w:cs="Times New Roman"/>
          <w:color w:val="686868"/>
          <w:sz w:val="20"/>
          <w:szCs w:val="20"/>
          <w:lang w:eastAsia="it-IT"/>
        </w:rPr>
        <w:t> relativi a lavori, servizi e forniture, di cui al </w:t>
      </w:r>
      <w:hyperlink r:id="rId5" w:anchor="id=10LX0000401301ART0,__m=document" w:history="1">
        <w:r w:rsidRPr="008B0D83">
          <w:rPr>
            <w:rFonts w:ascii="Verdana" w:eastAsia="Times New Roman" w:hAnsi="Verdana" w:cs="Times New Roman"/>
            <w:i/>
            <w:iCs/>
            <w:color w:val="67AF34"/>
            <w:sz w:val="20"/>
            <w:szCs w:val="20"/>
            <w:lang w:eastAsia="it-IT"/>
          </w:rPr>
          <w:t>decreto legislativo 12 aprile 2006, n. 163</w:t>
        </w:r>
      </w:hyperlink>
      <w:r w:rsidRPr="008B0D83">
        <w:rPr>
          <w:rFonts w:ascii="Verdana" w:eastAsia="Times New Roman" w:hAnsi="Verdana" w:cs="Times New Roman"/>
          <w:color w:val="686868"/>
          <w:sz w:val="20"/>
          <w:szCs w:val="20"/>
          <w:lang w:eastAsia="it-IT"/>
        </w:rPr>
        <w:t>, e, per i contratti regolati dal codice dei contratti pubblici, di cui al </w:t>
      </w:r>
      <w:hyperlink r:id="rId6" w:anchor="id=10LX0000827965ART0,__m=document" w:history="1">
        <w:r w:rsidRPr="008B0D83">
          <w:rPr>
            <w:rFonts w:ascii="Verdana" w:eastAsia="Times New Roman" w:hAnsi="Verdana" w:cs="Times New Roman"/>
            <w:i/>
            <w:iCs/>
            <w:color w:val="67AF34"/>
            <w:sz w:val="20"/>
            <w:szCs w:val="20"/>
            <w:lang w:eastAsia="it-IT"/>
          </w:rPr>
          <w:t>decreto legislativo 18 aprile 2016, n. 50</w:t>
        </w:r>
      </w:hyperlink>
      <w:r w:rsidRPr="008B0D83">
        <w:rPr>
          <w:rFonts w:ascii="Verdana" w:eastAsia="Times New Roman" w:hAnsi="Verdana" w:cs="Times New Roman"/>
          <w:color w:val="686868"/>
          <w:sz w:val="20"/>
          <w:szCs w:val="20"/>
          <w:lang w:eastAsia="it-IT"/>
        </w:rPr>
        <w:t>, in deroga alle disposizioni dell'</w:t>
      </w:r>
      <w:hyperlink r:id="rId7" w:anchor="id=10LX0000827965ART172,__m=document" w:history="1">
        <w:r w:rsidRPr="008B0D83">
          <w:rPr>
            <w:rFonts w:ascii="Verdana" w:eastAsia="Times New Roman" w:hAnsi="Verdana" w:cs="Times New Roman"/>
            <w:i/>
            <w:iCs/>
            <w:color w:val="67AF34"/>
            <w:sz w:val="20"/>
            <w:szCs w:val="20"/>
            <w:lang w:eastAsia="it-IT"/>
          </w:rPr>
          <w:t>articolo 106, comma 1, lettera a), del medesimo codice</w:t>
        </w:r>
      </w:hyperlink>
      <w:r w:rsidRPr="008B0D83">
        <w:rPr>
          <w:rFonts w:ascii="Verdana" w:eastAsia="Times New Roman" w:hAnsi="Verdana" w:cs="Times New Roman"/>
          <w:color w:val="686868"/>
          <w:sz w:val="20"/>
          <w:szCs w:val="20"/>
          <w:lang w:eastAsia="it-IT"/>
        </w:rPr>
        <w:t>, determinate al netto delle compensazioni eventualmente già riconosciute o liquidate in relazione al primo semestre dell'anno 2021, ai sensi del medesimo </w:t>
      </w:r>
      <w:hyperlink r:id="rId8" w:anchor="id=10LX0000827965ART172,__m=document" w:history="1">
        <w:r w:rsidRPr="008B0D83">
          <w:rPr>
            <w:rFonts w:ascii="Verdana" w:eastAsia="Times New Roman" w:hAnsi="Verdana" w:cs="Times New Roman"/>
            <w:i/>
            <w:iCs/>
            <w:color w:val="67AF34"/>
            <w:sz w:val="20"/>
            <w:szCs w:val="20"/>
            <w:lang w:eastAsia="it-IT"/>
          </w:rPr>
          <w:t>articolo 106</w:t>
        </w:r>
      </w:hyperlink>
      <w:r w:rsidRPr="008B0D83">
        <w:rPr>
          <w:rFonts w:ascii="Verdana" w:eastAsia="Times New Roman" w:hAnsi="Verdana" w:cs="Times New Roman"/>
          <w:color w:val="686868"/>
          <w:sz w:val="20"/>
          <w:szCs w:val="20"/>
          <w:lang w:eastAsia="it-IT"/>
        </w:rPr>
        <w:t>, comma, 1, lettera a).</w:t>
      </w:r>
    </w:p>
    <w:p w14:paraId="1531E982" w14:textId="77777777" w:rsidR="008B0D83" w:rsidRPr="008B0D83" w:rsidRDefault="008B0D83" w:rsidP="008B0D83">
      <w:pPr>
        <w:shd w:val="clear" w:color="auto" w:fill="FFFFFF"/>
        <w:spacing w:after="45" w:line="240" w:lineRule="auto"/>
        <w:jc w:val="both"/>
        <w:textAlignment w:val="baseline"/>
        <w:rPr>
          <w:rFonts w:ascii="Verdana" w:eastAsia="Times New Roman" w:hAnsi="Verdana" w:cs="Times New Roman"/>
          <w:color w:val="686868"/>
          <w:sz w:val="20"/>
          <w:szCs w:val="20"/>
          <w:lang w:eastAsia="it-IT"/>
        </w:rPr>
      </w:pPr>
      <w:r w:rsidRPr="008B0D83">
        <w:rPr>
          <w:rFonts w:ascii="Verdana" w:eastAsia="Times New Roman" w:hAnsi="Verdana" w:cs="Times New Roman"/>
          <w:color w:val="686868"/>
          <w:sz w:val="20"/>
          <w:szCs w:val="20"/>
          <w:lang w:eastAsia="it-IT"/>
        </w:rPr>
        <w:t>3. La compensazione è determinata applicando alle quantità dei singoli materiali impiegati nelle lavorazioni eseguite e contabilizzate dal direttore dei lavori, ovvero annotate sotto la responsabilità del direttore dei lavori nel libretto delle misure, dal 1° gennaio 2021 fino al 30 giugno 2021 le variazioni in aumento o in diminuzione dei relativi prezzi rilevate dal decreto di cui al comma 1 con riferimento alla data dell'offerta, eccedenti l'8 per cento se riferite esclusivamente all'anno 2021 ed eccedenti il 10 per cento complessivo se riferite a più anni. </w:t>
      </w:r>
      <w:bookmarkStart w:id="2" w:name="21up"/>
      <w:r w:rsidRPr="008B0D83">
        <w:rPr>
          <w:rFonts w:ascii="Verdana" w:eastAsia="Times New Roman" w:hAnsi="Verdana" w:cs="Times New Roman"/>
          <w:color w:val="686868"/>
          <w:sz w:val="20"/>
          <w:szCs w:val="20"/>
          <w:lang w:eastAsia="it-IT"/>
        </w:rPr>
        <w:fldChar w:fldCharType="begin"/>
      </w:r>
      <w:r w:rsidRPr="008B0D83">
        <w:rPr>
          <w:rFonts w:ascii="Verdana" w:eastAsia="Times New Roman" w:hAnsi="Verdana" w:cs="Times New Roman"/>
          <w:color w:val="686868"/>
          <w:sz w:val="20"/>
          <w:szCs w:val="20"/>
          <w:lang w:eastAsia="it-IT"/>
        </w:rPr>
        <w:instrText xml:space="preserve"> HYPERLINK "javascript:wrap.link_replacer.scroll('21')" </w:instrText>
      </w:r>
      <w:r w:rsidRPr="008B0D83">
        <w:rPr>
          <w:rFonts w:ascii="Verdana" w:eastAsia="Times New Roman" w:hAnsi="Verdana" w:cs="Times New Roman"/>
          <w:color w:val="686868"/>
          <w:sz w:val="20"/>
          <w:szCs w:val="20"/>
          <w:lang w:eastAsia="it-IT"/>
        </w:rPr>
        <w:fldChar w:fldCharType="separate"/>
      </w:r>
      <w:r w:rsidRPr="008B0D83">
        <w:rPr>
          <w:rFonts w:ascii="Verdana" w:eastAsia="Times New Roman" w:hAnsi="Verdana" w:cs="Times New Roman"/>
          <w:color w:val="67AF34"/>
          <w:sz w:val="16"/>
          <w:szCs w:val="16"/>
          <w:u w:val="single"/>
          <w:vertAlign w:val="superscript"/>
          <w:lang w:eastAsia="it-IT"/>
        </w:rPr>
        <w:t>(21)</w:t>
      </w:r>
      <w:r w:rsidRPr="008B0D83">
        <w:rPr>
          <w:rFonts w:ascii="Verdana" w:eastAsia="Times New Roman" w:hAnsi="Verdana" w:cs="Times New Roman"/>
          <w:color w:val="686868"/>
          <w:sz w:val="20"/>
          <w:szCs w:val="20"/>
          <w:lang w:eastAsia="it-IT"/>
        </w:rPr>
        <w:fldChar w:fldCharType="end"/>
      </w:r>
      <w:bookmarkEnd w:id="2"/>
    </w:p>
    <w:p w14:paraId="36D7E4C9" w14:textId="77777777" w:rsidR="008B0D83" w:rsidRPr="008B0D83" w:rsidRDefault="008B0D83" w:rsidP="008B0D83">
      <w:pPr>
        <w:shd w:val="clear" w:color="auto" w:fill="FFFFFF"/>
        <w:spacing w:after="45" w:line="240" w:lineRule="auto"/>
        <w:jc w:val="both"/>
        <w:textAlignment w:val="baseline"/>
        <w:rPr>
          <w:rFonts w:ascii="Verdana" w:eastAsia="Times New Roman" w:hAnsi="Verdana" w:cs="Times New Roman"/>
          <w:color w:val="686868"/>
          <w:sz w:val="20"/>
          <w:szCs w:val="20"/>
          <w:lang w:eastAsia="it-IT"/>
        </w:rPr>
      </w:pPr>
      <w:r w:rsidRPr="008B0D83">
        <w:rPr>
          <w:rFonts w:ascii="Verdana" w:eastAsia="Times New Roman" w:hAnsi="Verdana" w:cs="Times New Roman"/>
          <w:color w:val="686868"/>
          <w:sz w:val="20"/>
          <w:szCs w:val="20"/>
          <w:lang w:eastAsia="it-IT"/>
        </w:rPr>
        <w:t xml:space="preserve">4. Per le variazioni in aumento, a pena di decadenza, l'appaltatore presenta alla stazione appaltante l'istanza di compensazione entro quindici giorni dalla data di pubblicazione nella Gazzetta Ufficiale del decreto di cui al comma 1. Per le variazioni in diminuzione, la procedura è avviata d'ufficio dalla stazione appaltante, entro quindici giorni dalla </w:t>
      </w:r>
      <w:proofErr w:type="gramStart"/>
      <w:r w:rsidRPr="008B0D83">
        <w:rPr>
          <w:rFonts w:ascii="Verdana" w:eastAsia="Times New Roman" w:hAnsi="Verdana" w:cs="Times New Roman"/>
          <w:color w:val="686868"/>
          <w:sz w:val="20"/>
          <w:szCs w:val="20"/>
          <w:lang w:eastAsia="it-IT"/>
        </w:rPr>
        <w:t>predetta</w:t>
      </w:r>
      <w:proofErr w:type="gramEnd"/>
      <w:r w:rsidRPr="008B0D83">
        <w:rPr>
          <w:rFonts w:ascii="Verdana" w:eastAsia="Times New Roman" w:hAnsi="Verdana" w:cs="Times New Roman"/>
          <w:color w:val="686868"/>
          <w:sz w:val="20"/>
          <w:szCs w:val="20"/>
          <w:lang w:eastAsia="it-IT"/>
        </w:rPr>
        <w:t xml:space="preserve"> data; il responsabile del procedimento accerta con proprio provvedimento il credito della stazione appaltante e procede a eventuali recuperi.</w:t>
      </w:r>
    </w:p>
    <w:p w14:paraId="1370D494" w14:textId="77777777" w:rsidR="008B0D83" w:rsidRPr="008B0D83" w:rsidRDefault="008B0D83" w:rsidP="008B0D83">
      <w:pPr>
        <w:shd w:val="clear" w:color="auto" w:fill="FFFFFF"/>
        <w:spacing w:after="45" w:line="240" w:lineRule="auto"/>
        <w:jc w:val="both"/>
        <w:textAlignment w:val="baseline"/>
        <w:rPr>
          <w:rFonts w:ascii="Verdana" w:eastAsia="Times New Roman" w:hAnsi="Verdana" w:cs="Times New Roman"/>
          <w:color w:val="686868"/>
          <w:sz w:val="20"/>
          <w:szCs w:val="20"/>
          <w:lang w:eastAsia="it-IT"/>
        </w:rPr>
      </w:pPr>
      <w:r w:rsidRPr="008B0D83">
        <w:rPr>
          <w:rFonts w:ascii="Verdana" w:eastAsia="Times New Roman" w:hAnsi="Verdana" w:cs="Times New Roman"/>
          <w:color w:val="686868"/>
          <w:sz w:val="20"/>
          <w:szCs w:val="20"/>
          <w:lang w:eastAsia="it-IT"/>
        </w:rPr>
        <w:t>5. Per le lavorazioni eseguite e contabilizzate negli anni precedenti al 2021, restano ferme le variazioni rilevate dai decreti adottati ai sensi dell'</w:t>
      </w:r>
      <w:hyperlink r:id="rId9" w:anchor="id=10LX0000401301ART134,__m=document" w:history="1">
        <w:r w:rsidRPr="008B0D83">
          <w:rPr>
            <w:rFonts w:ascii="Verdana" w:eastAsia="Times New Roman" w:hAnsi="Verdana" w:cs="Times New Roman"/>
            <w:i/>
            <w:iCs/>
            <w:color w:val="67AF34"/>
            <w:sz w:val="20"/>
            <w:szCs w:val="20"/>
            <w:lang w:eastAsia="it-IT"/>
          </w:rPr>
          <w:t>articolo 133, comma 6, del codice di cui al decreto legislativo 12 aprile 2006, n. 163</w:t>
        </w:r>
      </w:hyperlink>
      <w:r w:rsidRPr="008B0D83">
        <w:rPr>
          <w:rFonts w:ascii="Verdana" w:eastAsia="Times New Roman" w:hAnsi="Verdana" w:cs="Times New Roman"/>
          <w:color w:val="686868"/>
          <w:sz w:val="20"/>
          <w:szCs w:val="20"/>
          <w:lang w:eastAsia="it-IT"/>
        </w:rPr>
        <w:t>, e dell'</w:t>
      </w:r>
      <w:hyperlink r:id="rId10" w:anchor="id=10LX0000827965ART366,__m=document" w:history="1">
        <w:r w:rsidRPr="008B0D83">
          <w:rPr>
            <w:rFonts w:ascii="Verdana" w:eastAsia="Times New Roman" w:hAnsi="Verdana" w:cs="Times New Roman"/>
            <w:i/>
            <w:iCs/>
            <w:color w:val="67AF34"/>
            <w:sz w:val="20"/>
            <w:szCs w:val="20"/>
            <w:lang w:eastAsia="it-IT"/>
          </w:rPr>
          <w:t>articolo 216, comma 27-ter, del codice di cui al decreto legislativo 18 aprile 2016, n. 50</w:t>
        </w:r>
      </w:hyperlink>
      <w:r w:rsidRPr="008B0D83">
        <w:rPr>
          <w:rFonts w:ascii="Verdana" w:eastAsia="Times New Roman" w:hAnsi="Verdana" w:cs="Times New Roman"/>
          <w:color w:val="686868"/>
          <w:sz w:val="20"/>
          <w:szCs w:val="20"/>
          <w:lang w:eastAsia="it-IT"/>
        </w:rPr>
        <w:t>.</w:t>
      </w:r>
    </w:p>
    <w:p w14:paraId="6A97F845" w14:textId="77777777" w:rsidR="008B0D83" w:rsidRPr="008B0D83" w:rsidRDefault="008B0D83" w:rsidP="008B0D83">
      <w:pPr>
        <w:shd w:val="clear" w:color="auto" w:fill="FFFFFF"/>
        <w:spacing w:after="45" w:line="240" w:lineRule="auto"/>
        <w:jc w:val="both"/>
        <w:textAlignment w:val="baseline"/>
        <w:rPr>
          <w:rFonts w:ascii="Verdana" w:eastAsia="Times New Roman" w:hAnsi="Verdana" w:cs="Times New Roman"/>
          <w:color w:val="686868"/>
          <w:sz w:val="20"/>
          <w:szCs w:val="20"/>
          <w:lang w:eastAsia="it-IT"/>
        </w:rPr>
      </w:pPr>
      <w:r w:rsidRPr="008B0D83">
        <w:rPr>
          <w:rFonts w:ascii="Verdana" w:eastAsia="Times New Roman" w:hAnsi="Verdana" w:cs="Times New Roman"/>
          <w:color w:val="686868"/>
          <w:sz w:val="20"/>
          <w:szCs w:val="20"/>
          <w:lang w:eastAsia="it-IT"/>
        </w:rPr>
        <w:t>6. Ciascuna stazione appaltante provvede alle compensazioni nei limiti del 50 per cento delle risorse appositamente accantonate per imprevisti nel quadro economico di ogni intervento, fatte salve le somme relative agli impegni contrattuali già assunti, nonché le eventuali ulteriori somme a disposizione della stazione appaltante per lo stesso intervento e stanziate annualmente. Possono, altresì, essere utilizzate le somme derivanti da ribassi d'asta, qualora non ne sia prevista una diversa destinazione sulla base delle norme vigenti, nonché le somme disponibili relative ad altri interventi ultimati di competenza della medesima stazione appaltante e per i quali siano stati eseguiti i relativi collaudi ed emanati i certificati di regolare esecuzione nel rispetto delle procedure contabili della spesa, nei limiti della residua spesa autorizzata disponibile alla data di entrata in vigore della legge di conversione del presente decreto.</w:t>
      </w:r>
    </w:p>
    <w:p w14:paraId="631C6C58" w14:textId="77777777" w:rsidR="008B0D83" w:rsidRPr="008B0D83" w:rsidRDefault="008B0D83" w:rsidP="008B0D83">
      <w:pPr>
        <w:shd w:val="clear" w:color="auto" w:fill="FFFFFF"/>
        <w:spacing w:after="45" w:line="240" w:lineRule="auto"/>
        <w:jc w:val="both"/>
        <w:textAlignment w:val="baseline"/>
        <w:rPr>
          <w:rFonts w:ascii="Verdana" w:eastAsia="Times New Roman" w:hAnsi="Verdana" w:cs="Times New Roman"/>
          <w:color w:val="686868"/>
          <w:sz w:val="20"/>
          <w:szCs w:val="20"/>
          <w:lang w:eastAsia="it-IT"/>
        </w:rPr>
      </w:pPr>
      <w:r w:rsidRPr="008B0D83">
        <w:rPr>
          <w:rFonts w:ascii="Verdana" w:eastAsia="Times New Roman" w:hAnsi="Verdana" w:cs="Times New Roman"/>
          <w:color w:val="686868"/>
          <w:sz w:val="20"/>
          <w:szCs w:val="20"/>
          <w:lang w:eastAsia="it-IT"/>
        </w:rPr>
        <w:t>7. Per i soggetti tenuti all'applicazione del codice di cui al </w:t>
      </w:r>
      <w:hyperlink r:id="rId11" w:anchor="id=10LX0000401301ART0,__m=document" w:history="1">
        <w:r w:rsidRPr="008B0D83">
          <w:rPr>
            <w:rFonts w:ascii="Verdana" w:eastAsia="Times New Roman" w:hAnsi="Verdana" w:cs="Times New Roman"/>
            <w:i/>
            <w:iCs/>
            <w:color w:val="67AF34"/>
            <w:sz w:val="20"/>
            <w:szCs w:val="20"/>
            <w:lang w:eastAsia="it-IT"/>
          </w:rPr>
          <w:t>decreto legislativo 12 aprile 2006, n. 163</w:t>
        </w:r>
      </w:hyperlink>
      <w:r w:rsidRPr="008B0D83">
        <w:rPr>
          <w:rFonts w:ascii="Verdana" w:eastAsia="Times New Roman" w:hAnsi="Verdana" w:cs="Times New Roman"/>
          <w:color w:val="686868"/>
          <w:sz w:val="20"/>
          <w:szCs w:val="20"/>
          <w:lang w:eastAsia="it-IT"/>
        </w:rPr>
        <w:t>, ad esclusione dei soggetti di cui all'</w:t>
      </w:r>
      <w:hyperlink r:id="rId12" w:anchor="id=10LX0000401301ART143,__m=document" w:history="1">
        <w:r w:rsidRPr="008B0D83">
          <w:rPr>
            <w:rFonts w:ascii="Verdana" w:eastAsia="Times New Roman" w:hAnsi="Verdana" w:cs="Times New Roman"/>
            <w:i/>
            <w:iCs/>
            <w:color w:val="67AF34"/>
            <w:sz w:val="20"/>
            <w:szCs w:val="20"/>
            <w:lang w:eastAsia="it-IT"/>
          </w:rPr>
          <w:t>articolo 142, comma 4, del medesimo codice</w:t>
        </w:r>
      </w:hyperlink>
      <w:r w:rsidRPr="008B0D83">
        <w:rPr>
          <w:rFonts w:ascii="Verdana" w:eastAsia="Times New Roman" w:hAnsi="Verdana" w:cs="Times New Roman"/>
          <w:color w:val="686868"/>
          <w:sz w:val="20"/>
          <w:szCs w:val="20"/>
          <w:lang w:eastAsia="it-IT"/>
        </w:rPr>
        <w:t>, ovvero all'applicazione del codice di cui al </w:t>
      </w:r>
      <w:hyperlink r:id="rId13" w:anchor="id=10LX0000827965ART0,__m=document" w:history="1">
        <w:r w:rsidRPr="008B0D83">
          <w:rPr>
            <w:rFonts w:ascii="Verdana" w:eastAsia="Times New Roman" w:hAnsi="Verdana" w:cs="Times New Roman"/>
            <w:i/>
            <w:iCs/>
            <w:color w:val="67AF34"/>
            <w:sz w:val="20"/>
            <w:szCs w:val="20"/>
            <w:lang w:eastAsia="it-IT"/>
          </w:rPr>
          <w:t>decreto legislativo 18 aprile 2016, n. 50</w:t>
        </w:r>
      </w:hyperlink>
      <w:r w:rsidRPr="008B0D83">
        <w:rPr>
          <w:rFonts w:ascii="Verdana" w:eastAsia="Times New Roman" w:hAnsi="Verdana" w:cs="Times New Roman"/>
          <w:color w:val="686868"/>
          <w:sz w:val="20"/>
          <w:szCs w:val="20"/>
          <w:lang w:eastAsia="it-IT"/>
        </w:rPr>
        <w:t>, ad esclusione dei soggetti di cui all'</w:t>
      </w:r>
      <w:hyperlink r:id="rId14" w:anchor="id=10LX0000827965ART275,__m=document" w:history="1">
        <w:r w:rsidRPr="008B0D83">
          <w:rPr>
            <w:rFonts w:ascii="Verdana" w:eastAsia="Times New Roman" w:hAnsi="Verdana" w:cs="Times New Roman"/>
            <w:i/>
            <w:iCs/>
            <w:color w:val="67AF34"/>
            <w:sz w:val="20"/>
            <w:szCs w:val="20"/>
            <w:lang w:eastAsia="it-IT"/>
          </w:rPr>
          <w:t>articolo 164, comma 5, del medesimo codice</w:t>
        </w:r>
      </w:hyperlink>
      <w:r w:rsidRPr="008B0D83">
        <w:rPr>
          <w:rFonts w:ascii="Verdana" w:eastAsia="Times New Roman" w:hAnsi="Verdana" w:cs="Times New Roman"/>
          <w:color w:val="686868"/>
          <w:sz w:val="20"/>
          <w:szCs w:val="20"/>
          <w:lang w:eastAsia="it-IT"/>
        </w:rPr>
        <w:t>, per i lavori realizzati ovvero affidati dagli stessi, in caso di insufficienza delle risorse di cui al comma 6 del presente articolo, alla copertura degli oneri si provvede, fino alla concorrenza dell'importo di 100 milioni di euro, che costituisce limite massimo di spesa, con le modalità di cui al comma 8 del presente articolo.</w:t>
      </w:r>
    </w:p>
    <w:p w14:paraId="547560C8" w14:textId="77777777" w:rsidR="008B0D83" w:rsidRPr="008B0D83" w:rsidRDefault="008B0D83" w:rsidP="008B0D83">
      <w:pPr>
        <w:shd w:val="clear" w:color="auto" w:fill="FFFFFF"/>
        <w:spacing w:after="45" w:line="240" w:lineRule="auto"/>
        <w:jc w:val="both"/>
        <w:textAlignment w:val="baseline"/>
        <w:rPr>
          <w:rFonts w:ascii="Verdana" w:eastAsia="Times New Roman" w:hAnsi="Verdana" w:cs="Times New Roman"/>
          <w:color w:val="686868"/>
          <w:sz w:val="20"/>
          <w:szCs w:val="20"/>
          <w:lang w:eastAsia="it-IT"/>
        </w:rPr>
      </w:pPr>
      <w:r w:rsidRPr="008B0D83">
        <w:rPr>
          <w:rFonts w:ascii="Verdana" w:eastAsia="Times New Roman" w:hAnsi="Verdana" w:cs="Times New Roman"/>
          <w:color w:val="686868"/>
          <w:sz w:val="20"/>
          <w:szCs w:val="20"/>
          <w:lang w:eastAsia="it-IT"/>
        </w:rPr>
        <w:t xml:space="preserve">8. Per le finalità di cui al comma 7, nello stato di previsione del Ministero delle infrastrutture e della mobilità sostenibili è istituito un Fondo per l'adeguamento dei prezzi, con una dotazione di </w:t>
      </w:r>
      <w:r w:rsidRPr="008B0D83">
        <w:rPr>
          <w:rFonts w:ascii="Verdana" w:eastAsia="Times New Roman" w:hAnsi="Verdana" w:cs="Times New Roman"/>
          <w:color w:val="686868"/>
          <w:sz w:val="20"/>
          <w:szCs w:val="20"/>
          <w:lang w:eastAsia="it-IT"/>
        </w:rPr>
        <w:lastRenderedPageBreak/>
        <w:t>100 milioni di euro per l'anno 2021. Con decreto del Ministro delle infrastrutture e della mobilità sostenibili, adottato entro sessanta giorni dalla data di entrata in vigore della legge di conversione del presente decreto, sono stabilite le modalità di utilizzo del Fondo, garantendo la parità di accesso per le piccole, medie e grandi imprese di costruzione, nonché la proporzionalità, per gli aventi diritto, nell'assegnazione delle risorse. </w:t>
      </w:r>
      <w:bookmarkStart w:id="3" w:name="22up"/>
      <w:r w:rsidRPr="008B0D83">
        <w:rPr>
          <w:rFonts w:ascii="Verdana" w:eastAsia="Times New Roman" w:hAnsi="Verdana" w:cs="Times New Roman"/>
          <w:color w:val="686868"/>
          <w:sz w:val="20"/>
          <w:szCs w:val="20"/>
          <w:lang w:eastAsia="it-IT"/>
        </w:rPr>
        <w:fldChar w:fldCharType="begin"/>
      </w:r>
      <w:r w:rsidRPr="008B0D83">
        <w:rPr>
          <w:rFonts w:ascii="Verdana" w:eastAsia="Times New Roman" w:hAnsi="Verdana" w:cs="Times New Roman"/>
          <w:color w:val="686868"/>
          <w:sz w:val="20"/>
          <w:szCs w:val="20"/>
          <w:lang w:eastAsia="it-IT"/>
        </w:rPr>
        <w:instrText xml:space="preserve"> HYPERLINK "javascript:wrap.link_replacer.scroll('22')" </w:instrText>
      </w:r>
      <w:r w:rsidRPr="008B0D83">
        <w:rPr>
          <w:rFonts w:ascii="Verdana" w:eastAsia="Times New Roman" w:hAnsi="Verdana" w:cs="Times New Roman"/>
          <w:color w:val="686868"/>
          <w:sz w:val="20"/>
          <w:szCs w:val="20"/>
          <w:lang w:eastAsia="it-IT"/>
        </w:rPr>
        <w:fldChar w:fldCharType="separate"/>
      </w:r>
      <w:r w:rsidRPr="008B0D83">
        <w:rPr>
          <w:rFonts w:ascii="Verdana" w:eastAsia="Times New Roman" w:hAnsi="Verdana" w:cs="Times New Roman"/>
          <w:color w:val="67AF34"/>
          <w:sz w:val="16"/>
          <w:szCs w:val="16"/>
          <w:u w:val="single"/>
          <w:vertAlign w:val="superscript"/>
          <w:lang w:eastAsia="it-IT"/>
        </w:rPr>
        <w:t>(22)</w:t>
      </w:r>
      <w:r w:rsidRPr="008B0D83">
        <w:rPr>
          <w:rFonts w:ascii="Verdana" w:eastAsia="Times New Roman" w:hAnsi="Verdana" w:cs="Times New Roman"/>
          <w:color w:val="686868"/>
          <w:sz w:val="20"/>
          <w:szCs w:val="20"/>
          <w:lang w:eastAsia="it-IT"/>
        </w:rPr>
        <w:fldChar w:fldCharType="end"/>
      </w:r>
      <w:bookmarkEnd w:id="3"/>
    </w:p>
    <w:p w14:paraId="360EB951" w14:textId="77777777" w:rsidR="008B0D83" w:rsidRPr="008B0D83" w:rsidRDefault="008B0D83" w:rsidP="008B0D83">
      <w:pPr>
        <w:shd w:val="clear" w:color="auto" w:fill="FFFFFF"/>
        <w:spacing w:after="45" w:line="240" w:lineRule="auto"/>
        <w:jc w:val="both"/>
        <w:textAlignment w:val="baseline"/>
        <w:rPr>
          <w:rFonts w:ascii="Verdana" w:eastAsia="Times New Roman" w:hAnsi="Verdana" w:cs="Times New Roman"/>
          <w:color w:val="686868"/>
          <w:sz w:val="20"/>
          <w:szCs w:val="20"/>
          <w:lang w:eastAsia="it-IT"/>
        </w:rPr>
      </w:pPr>
      <w:r w:rsidRPr="008B0D83">
        <w:rPr>
          <w:rFonts w:ascii="Verdana" w:eastAsia="Times New Roman" w:hAnsi="Verdana" w:cs="Times New Roman"/>
          <w:color w:val="686868"/>
          <w:sz w:val="20"/>
          <w:szCs w:val="20"/>
          <w:lang w:eastAsia="it-IT"/>
        </w:rPr>
        <w:t>9. Agli oneri derivanti dal presente articolo, pari a 100 milioni di euro per l'anno 2021, si provvede ai sensi dell'articolo 77.</w:t>
      </w:r>
    </w:p>
    <w:p w14:paraId="3CA643FA" w14:textId="77777777" w:rsidR="004A5D34" w:rsidRDefault="004A5D34"/>
    <w:sectPr w:rsidR="004A5D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D83"/>
    <w:rsid w:val="004A5D34"/>
    <w:rsid w:val="008B0D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6260D"/>
  <w15:chartTrackingRefBased/>
  <w15:docId w15:val="{F6EBAEEC-10DB-434E-BBC4-EFB73328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81313">
      <w:bodyDiv w:val="1"/>
      <w:marLeft w:val="0"/>
      <w:marRight w:val="0"/>
      <w:marTop w:val="0"/>
      <w:marBottom w:val="0"/>
      <w:divBdr>
        <w:top w:val="none" w:sz="0" w:space="0" w:color="auto"/>
        <w:left w:val="none" w:sz="0" w:space="0" w:color="auto"/>
        <w:bottom w:val="none" w:sz="0" w:space="0" w:color="auto"/>
        <w:right w:val="none" w:sz="0" w:space="0" w:color="auto"/>
      </w:divBdr>
      <w:divsChild>
        <w:div w:id="396981540">
          <w:marLeft w:val="0"/>
          <w:marRight w:val="0"/>
          <w:marTop w:val="0"/>
          <w:marBottom w:val="240"/>
          <w:divBdr>
            <w:top w:val="none" w:sz="0" w:space="0" w:color="auto"/>
            <w:left w:val="none" w:sz="0" w:space="0" w:color="auto"/>
            <w:bottom w:val="none" w:sz="0" w:space="0" w:color="auto"/>
            <w:right w:val="none" w:sz="0" w:space="0" w:color="auto"/>
          </w:divBdr>
          <w:divsChild>
            <w:div w:id="1436246308">
              <w:marLeft w:val="0"/>
              <w:marRight w:val="0"/>
              <w:marTop w:val="0"/>
              <w:marBottom w:val="0"/>
              <w:divBdr>
                <w:top w:val="none" w:sz="0" w:space="0" w:color="auto"/>
                <w:left w:val="none" w:sz="0" w:space="0" w:color="auto"/>
                <w:bottom w:val="none" w:sz="0" w:space="0" w:color="auto"/>
                <w:right w:val="none" w:sz="0" w:space="0" w:color="auto"/>
              </w:divBdr>
            </w:div>
            <w:div w:id="1187447987">
              <w:marLeft w:val="0"/>
              <w:marRight w:val="0"/>
              <w:marTop w:val="0"/>
              <w:marBottom w:val="0"/>
              <w:divBdr>
                <w:top w:val="none" w:sz="0" w:space="0" w:color="auto"/>
                <w:left w:val="none" w:sz="0" w:space="0" w:color="auto"/>
                <w:bottom w:val="none" w:sz="0" w:space="0" w:color="auto"/>
                <w:right w:val="none" w:sz="0" w:space="0" w:color="auto"/>
              </w:divBdr>
            </w:div>
            <w:div w:id="111058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ilocali.leggiditalia.it/" TargetMode="External"/><Relationship Id="rId13" Type="http://schemas.openxmlformats.org/officeDocument/2006/relationships/hyperlink" Target="https://www.entilocali.leggiditalia.it/" TargetMode="External"/><Relationship Id="rId3" Type="http://schemas.openxmlformats.org/officeDocument/2006/relationships/webSettings" Target="webSettings.xml"/><Relationship Id="rId7" Type="http://schemas.openxmlformats.org/officeDocument/2006/relationships/hyperlink" Target="https://www.entilocali.leggiditalia.it/" TargetMode="External"/><Relationship Id="rId12" Type="http://schemas.openxmlformats.org/officeDocument/2006/relationships/hyperlink" Target="https://www.entilocali.leggiditalia.i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ntilocali.leggiditalia.it/" TargetMode="External"/><Relationship Id="rId11" Type="http://schemas.openxmlformats.org/officeDocument/2006/relationships/hyperlink" Target="https://www.entilocali.leggiditalia.it/" TargetMode="External"/><Relationship Id="rId5" Type="http://schemas.openxmlformats.org/officeDocument/2006/relationships/hyperlink" Target="https://www.entilocali.leggiditalia.it/" TargetMode="External"/><Relationship Id="rId15" Type="http://schemas.openxmlformats.org/officeDocument/2006/relationships/fontTable" Target="fontTable.xml"/><Relationship Id="rId10" Type="http://schemas.openxmlformats.org/officeDocument/2006/relationships/hyperlink" Target="https://www.entilocali.leggiditalia.it/" TargetMode="External"/><Relationship Id="rId4" Type="http://schemas.openxmlformats.org/officeDocument/2006/relationships/hyperlink" Target="https://www.entilocali.leggiditalia.it/" TargetMode="External"/><Relationship Id="rId9" Type="http://schemas.openxmlformats.org/officeDocument/2006/relationships/hyperlink" Target="https://www.entilocali.leggiditalia.it/" TargetMode="External"/><Relationship Id="rId14" Type="http://schemas.openxmlformats.org/officeDocument/2006/relationships/hyperlink" Target="https://www.entilocali.leggid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1019</Words>
  <Characters>5813</Characters>
  <Application>Microsoft Office Word</Application>
  <DocSecurity>0</DocSecurity>
  <Lines>48</Lines>
  <Paragraphs>13</Paragraphs>
  <ScaleCrop>false</ScaleCrop>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Giovannini</dc:creator>
  <cp:keywords/>
  <dc:description/>
  <cp:lastModifiedBy>Claudia Giovannini</cp:lastModifiedBy>
  <cp:revision>1</cp:revision>
  <dcterms:created xsi:type="dcterms:W3CDTF">2021-12-22T13:07:00Z</dcterms:created>
  <dcterms:modified xsi:type="dcterms:W3CDTF">2021-12-22T13:08:00Z</dcterms:modified>
</cp:coreProperties>
</file>