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7744" w14:textId="77777777" w:rsidR="001726AC" w:rsidRDefault="001726AC" w:rsidP="00DF368E">
      <w:pPr>
        <w:widowControl/>
        <w:shd w:val="clear" w:color="auto" w:fill="FFFFFF"/>
        <w:suppressAutoHyphens w:val="0"/>
        <w:jc w:val="center"/>
        <w:rPr>
          <w:rFonts w:ascii="Roboto" w:eastAsia="Times New Roman" w:hAnsi="Roboto" w:cs="Times New Roman"/>
          <w:b/>
          <w:bCs/>
          <w:color w:val="333333"/>
          <w:kern w:val="0"/>
          <w:sz w:val="21"/>
          <w:szCs w:val="21"/>
          <w:lang w:eastAsia="it-IT" w:bidi="ar-SA"/>
        </w:rPr>
      </w:pPr>
    </w:p>
    <w:p w14:paraId="7C913E14" w14:textId="306E1041" w:rsidR="001726AC" w:rsidRDefault="001726AC" w:rsidP="00DF368E">
      <w:pPr>
        <w:widowControl/>
        <w:shd w:val="clear" w:color="auto" w:fill="FFFFFF"/>
        <w:suppressAutoHyphens w:val="0"/>
        <w:jc w:val="center"/>
        <w:rPr>
          <w:rFonts w:ascii="Roboto" w:eastAsia="Times New Roman" w:hAnsi="Roboto" w:cs="Times New Roman"/>
          <w:b/>
          <w:bCs/>
          <w:color w:val="333333"/>
          <w:kern w:val="0"/>
          <w:sz w:val="21"/>
          <w:szCs w:val="21"/>
          <w:lang w:eastAsia="it-IT" w:bidi="ar-SA"/>
        </w:rPr>
      </w:pPr>
      <w:r>
        <w:rPr>
          <w:rFonts w:ascii="Roboto" w:eastAsia="Times New Roman" w:hAnsi="Roboto" w:cs="Times New Roman"/>
          <w:b/>
          <w:bCs/>
          <w:noProof/>
          <w:color w:val="333333"/>
          <w:kern w:val="0"/>
          <w:sz w:val="21"/>
          <w:szCs w:val="21"/>
          <w:lang w:eastAsia="it-IT" w:bidi="ar-SA"/>
        </w:rPr>
        <w:drawing>
          <wp:inline distT="0" distB="0" distL="0" distR="0" wp14:anchorId="09724849" wp14:editId="57E04409">
            <wp:extent cx="2019300" cy="166577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2023868" cy="1669541"/>
                    </a:xfrm>
                    <a:prstGeom prst="rect">
                      <a:avLst/>
                    </a:prstGeom>
                  </pic:spPr>
                </pic:pic>
              </a:graphicData>
            </a:graphic>
          </wp:inline>
        </w:drawing>
      </w:r>
    </w:p>
    <w:p w14:paraId="18D1F2C7" w14:textId="77777777" w:rsidR="001726AC" w:rsidRDefault="001726AC" w:rsidP="00DF368E">
      <w:pPr>
        <w:widowControl/>
        <w:shd w:val="clear" w:color="auto" w:fill="FFFFFF"/>
        <w:suppressAutoHyphens w:val="0"/>
        <w:jc w:val="center"/>
        <w:rPr>
          <w:rFonts w:ascii="Roboto" w:eastAsia="Times New Roman" w:hAnsi="Roboto" w:cs="Times New Roman"/>
          <w:b/>
          <w:bCs/>
          <w:color w:val="333333"/>
          <w:kern w:val="0"/>
          <w:sz w:val="21"/>
          <w:szCs w:val="21"/>
          <w:lang w:eastAsia="it-IT" w:bidi="ar-SA"/>
        </w:rPr>
      </w:pPr>
    </w:p>
    <w:p w14:paraId="54B060AB" w14:textId="77777777" w:rsidR="001726AC" w:rsidRDefault="001726AC" w:rsidP="00DF368E">
      <w:pPr>
        <w:widowControl/>
        <w:shd w:val="clear" w:color="auto" w:fill="FFFFFF"/>
        <w:suppressAutoHyphens w:val="0"/>
        <w:jc w:val="center"/>
        <w:rPr>
          <w:rFonts w:ascii="Roboto" w:eastAsia="Times New Roman" w:hAnsi="Roboto" w:cs="Times New Roman"/>
          <w:b/>
          <w:bCs/>
          <w:color w:val="333333"/>
          <w:kern w:val="0"/>
          <w:sz w:val="21"/>
          <w:szCs w:val="21"/>
          <w:lang w:eastAsia="it-IT" w:bidi="ar-SA"/>
        </w:rPr>
      </w:pPr>
    </w:p>
    <w:p w14:paraId="03B68175" w14:textId="715BF75E" w:rsidR="001726AC" w:rsidRDefault="001726AC" w:rsidP="00DF368E">
      <w:pPr>
        <w:widowControl/>
        <w:shd w:val="clear" w:color="auto" w:fill="FFFFFF"/>
        <w:suppressAutoHyphens w:val="0"/>
        <w:jc w:val="center"/>
        <w:rPr>
          <w:rFonts w:ascii="Roboto" w:eastAsia="Times New Roman" w:hAnsi="Roboto" w:cs="Times New Roman"/>
          <w:b/>
          <w:bCs/>
          <w:color w:val="333333"/>
          <w:kern w:val="0"/>
          <w:sz w:val="21"/>
          <w:szCs w:val="21"/>
          <w:lang w:eastAsia="it-IT" w:bidi="ar-SA"/>
        </w:rPr>
      </w:pPr>
    </w:p>
    <w:p w14:paraId="578C7176" w14:textId="519EE742"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p>
    <w:p w14:paraId="581AAE95" w14:textId="12A881A5"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p>
    <w:p w14:paraId="65823F8D" w14:textId="6444ABFE"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r w:rsidRPr="001726AC">
        <w:rPr>
          <w:rFonts w:eastAsia="Times New Roman" w:cs="Times New Roman"/>
          <w:b/>
          <w:bCs/>
          <w:kern w:val="0"/>
          <w:sz w:val="26"/>
          <w:szCs w:val="26"/>
          <w:lang w:eastAsia="it-IT" w:bidi="ar-SA"/>
        </w:rPr>
        <w:t>DISEGNO DI LEGGE AC 3431</w:t>
      </w:r>
    </w:p>
    <w:p w14:paraId="39871A46" w14:textId="04D68772"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p>
    <w:p w14:paraId="37F61FE0" w14:textId="77777777"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p>
    <w:p w14:paraId="25E0FB0D" w14:textId="77777777"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p>
    <w:p w14:paraId="39074B4D" w14:textId="77777777" w:rsidR="001726AC" w:rsidRPr="001726AC" w:rsidRDefault="001726AC" w:rsidP="00DF368E">
      <w:pPr>
        <w:widowControl/>
        <w:shd w:val="clear" w:color="auto" w:fill="FFFFFF"/>
        <w:suppressAutoHyphens w:val="0"/>
        <w:jc w:val="center"/>
        <w:rPr>
          <w:rFonts w:eastAsia="Times New Roman" w:cs="Times New Roman"/>
          <w:b/>
          <w:bCs/>
          <w:kern w:val="0"/>
          <w:sz w:val="26"/>
          <w:szCs w:val="26"/>
          <w:lang w:eastAsia="it-IT" w:bidi="ar-SA"/>
        </w:rPr>
      </w:pPr>
    </w:p>
    <w:p w14:paraId="2D40ACA6" w14:textId="0C536F66" w:rsidR="00DF368E" w:rsidRPr="00DF368E" w:rsidRDefault="00DF368E" w:rsidP="00DF368E">
      <w:pPr>
        <w:widowControl/>
        <w:shd w:val="clear" w:color="auto" w:fill="FFFFFF"/>
        <w:suppressAutoHyphens w:val="0"/>
        <w:jc w:val="center"/>
        <w:rPr>
          <w:rFonts w:eastAsia="Times New Roman" w:cs="Times New Roman"/>
          <w:kern w:val="0"/>
          <w:sz w:val="26"/>
          <w:szCs w:val="26"/>
          <w:lang w:eastAsia="it-IT" w:bidi="ar-SA"/>
        </w:rPr>
      </w:pPr>
      <w:r w:rsidRPr="00DF368E">
        <w:rPr>
          <w:rFonts w:eastAsia="Times New Roman" w:cs="Times New Roman"/>
          <w:kern w:val="0"/>
          <w:sz w:val="26"/>
          <w:szCs w:val="26"/>
          <w:lang w:eastAsia="it-IT" w:bidi="ar-SA"/>
        </w:rPr>
        <w:t>Conversione in legge del decreto-legge 30 dicembre 2021, n. 228, recante disposizioni urgenti in materia di termini legislativi</w:t>
      </w:r>
    </w:p>
    <w:p w14:paraId="22CD7BE9" w14:textId="46199707" w:rsidR="00DF368E" w:rsidRPr="001726AC" w:rsidRDefault="00DF368E" w:rsidP="00431D36">
      <w:pPr>
        <w:jc w:val="right"/>
        <w:rPr>
          <w:rFonts w:cs="Times New Roman"/>
          <w:i/>
          <w:iCs/>
          <w:sz w:val="26"/>
          <w:szCs w:val="26"/>
        </w:rPr>
      </w:pPr>
    </w:p>
    <w:p w14:paraId="5EC3C966" w14:textId="18123070" w:rsidR="001726AC" w:rsidRPr="001726AC" w:rsidRDefault="001726AC" w:rsidP="00431D36">
      <w:pPr>
        <w:jc w:val="right"/>
        <w:rPr>
          <w:rFonts w:cs="Times New Roman"/>
          <w:i/>
          <w:iCs/>
          <w:sz w:val="26"/>
          <w:szCs w:val="26"/>
        </w:rPr>
      </w:pPr>
    </w:p>
    <w:p w14:paraId="0CD8FF20" w14:textId="7BC01835" w:rsidR="001726AC" w:rsidRPr="001726AC" w:rsidRDefault="001726AC" w:rsidP="00431D36">
      <w:pPr>
        <w:jc w:val="right"/>
        <w:rPr>
          <w:rFonts w:cs="Times New Roman"/>
          <w:i/>
          <w:iCs/>
          <w:sz w:val="26"/>
          <w:szCs w:val="26"/>
        </w:rPr>
      </w:pPr>
    </w:p>
    <w:p w14:paraId="47DC0995" w14:textId="77777777" w:rsidR="001726AC" w:rsidRDefault="001726AC" w:rsidP="00431D36">
      <w:pPr>
        <w:jc w:val="right"/>
        <w:rPr>
          <w:rFonts w:cs="Times New Roman"/>
          <w:i/>
          <w:iCs/>
          <w:sz w:val="26"/>
          <w:szCs w:val="26"/>
        </w:rPr>
      </w:pPr>
    </w:p>
    <w:p w14:paraId="43FE520D" w14:textId="77777777" w:rsidR="001726AC" w:rsidRDefault="001726AC" w:rsidP="00431D36">
      <w:pPr>
        <w:jc w:val="right"/>
        <w:rPr>
          <w:rFonts w:cs="Times New Roman"/>
          <w:i/>
          <w:iCs/>
          <w:sz w:val="26"/>
          <w:szCs w:val="26"/>
        </w:rPr>
      </w:pPr>
    </w:p>
    <w:p w14:paraId="761F772E" w14:textId="77777777" w:rsidR="001726AC" w:rsidRDefault="001726AC" w:rsidP="00431D36">
      <w:pPr>
        <w:jc w:val="right"/>
        <w:rPr>
          <w:rFonts w:cs="Times New Roman"/>
          <w:i/>
          <w:iCs/>
          <w:sz w:val="26"/>
          <w:szCs w:val="26"/>
        </w:rPr>
      </w:pPr>
    </w:p>
    <w:p w14:paraId="2419B07D" w14:textId="77777777" w:rsidR="001726AC" w:rsidRDefault="001726AC" w:rsidP="00431D36">
      <w:pPr>
        <w:jc w:val="right"/>
        <w:rPr>
          <w:rFonts w:cs="Times New Roman"/>
          <w:i/>
          <w:iCs/>
          <w:sz w:val="26"/>
          <w:szCs w:val="26"/>
        </w:rPr>
      </w:pPr>
    </w:p>
    <w:p w14:paraId="422AF80E" w14:textId="77777777" w:rsidR="001726AC" w:rsidRDefault="001726AC" w:rsidP="00431D36">
      <w:pPr>
        <w:jc w:val="right"/>
        <w:rPr>
          <w:rFonts w:cs="Times New Roman"/>
          <w:i/>
          <w:iCs/>
          <w:sz w:val="26"/>
          <w:szCs w:val="26"/>
        </w:rPr>
      </w:pPr>
    </w:p>
    <w:p w14:paraId="136DA231" w14:textId="6C19377F" w:rsidR="001726AC" w:rsidRDefault="001726AC" w:rsidP="001726AC">
      <w:pPr>
        <w:jc w:val="center"/>
        <w:rPr>
          <w:rFonts w:cs="Times New Roman"/>
          <w:i/>
          <w:iCs/>
          <w:sz w:val="26"/>
          <w:szCs w:val="26"/>
        </w:rPr>
      </w:pPr>
      <w:r w:rsidRPr="001726AC">
        <w:rPr>
          <w:rFonts w:cs="Times New Roman"/>
          <w:i/>
          <w:iCs/>
          <w:sz w:val="26"/>
          <w:szCs w:val="26"/>
        </w:rPr>
        <w:t>proposte di emendamenti</w:t>
      </w:r>
    </w:p>
    <w:p w14:paraId="1E72F2A2" w14:textId="3AD2EF1E" w:rsidR="00FA16ED" w:rsidRDefault="00FA16ED" w:rsidP="001726AC">
      <w:pPr>
        <w:jc w:val="center"/>
        <w:rPr>
          <w:rFonts w:cs="Times New Roman"/>
          <w:i/>
          <w:iCs/>
          <w:sz w:val="26"/>
          <w:szCs w:val="26"/>
        </w:rPr>
      </w:pPr>
    </w:p>
    <w:p w14:paraId="492C2990" w14:textId="3E436715" w:rsidR="00FA16ED" w:rsidRDefault="00FA16ED" w:rsidP="001726AC">
      <w:pPr>
        <w:jc w:val="center"/>
        <w:rPr>
          <w:rFonts w:cs="Times New Roman"/>
          <w:i/>
          <w:iCs/>
          <w:sz w:val="26"/>
          <w:szCs w:val="26"/>
        </w:rPr>
      </w:pPr>
    </w:p>
    <w:p w14:paraId="3AD66E71" w14:textId="4F57A869" w:rsidR="00FA16ED" w:rsidRDefault="00FA16ED" w:rsidP="001726AC">
      <w:pPr>
        <w:jc w:val="center"/>
        <w:rPr>
          <w:rFonts w:cs="Times New Roman"/>
          <w:i/>
          <w:iCs/>
          <w:sz w:val="26"/>
          <w:szCs w:val="26"/>
        </w:rPr>
      </w:pPr>
    </w:p>
    <w:p w14:paraId="70E4A94C" w14:textId="0F3FAAB2" w:rsidR="00FA16ED" w:rsidRDefault="00FA16ED" w:rsidP="001726AC">
      <w:pPr>
        <w:jc w:val="center"/>
        <w:rPr>
          <w:rFonts w:cs="Times New Roman"/>
          <w:i/>
          <w:iCs/>
          <w:sz w:val="26"/>
          <w:szCs w:val="26"/>
        </w:rPr>
      </w:pPr>
    </w:p>
    <w:p w14:paraId="1884194D" w14:textId="6AB57F08" w:rsidR="00FA16ED" w:rsidRDefault="00FA16ED" w:rsidP="001726AC">
      <w:pPr>
        <w:jc w:val="center"/>
        <w:rPr>
          <w:rFonts w:cs="Times New Roman"/>
          <w:i/>
          <w:iCs/>
          <w:sz w:val="26"/>
          <w:szCs w:val="26"/>
        </w:rPr>
      </w:pPr>
      <w:r>
        <w:rPr>
          <w:rFonts w:cs="Times New Roman"/>
          <w:i/>
          <w:iCs/>
          <w:sz w:val="26"/>
          <w:szCs w:val="26"/>
        </w:rPr>
        <w:t>Roma, 17 gennaio 2022</w:t>
      </w:r>
    </w:p>
    <w:p w14:paraId="4FD753EF" w14:textId="12BBE599" w:rsidR="00FA16ED" w:rsidRDefault="00FA16ED">
      <w:pPr>
        <w:widowControl/>
        <w:suppressAutoHyphens w:val="0"/>
        <w:spacing w:after="160" w:line="259" w:lineRule="auto"/>
        <w:rPr>
          <w:rFonts w:cs="Times New Roman"/>
          <w:i/>
          <w:iCs/>
          <w:sz w:val="26"/>
          <w:szCs w:val="26"/>
        </w:rPr>
      </w:pPr>
      <w:r>
        <w:rPr>
          <w:rFonts w:cs="Times New Roman"/>
          <w:i/>
          <w:iCs/>
          <w:sz w:val="26"/>
          <w:szCs w:val="26"/>
        </w:rPr>
        <w:br w:type="page"/>
      </w:r>
    </w:p>
    <w:p w14:paraId="21B26A12" w14:textId="30092293" w:rsidR="00431D36" w:rsidRPr="00871E82" w:rsidRDefault="00431D36" w:rsidP="00431D36">
      <w:pPr>
        <w:jc w:val="right"/>
        <w:rPr>
          <w:i/>
          <w:iCs/>
          <w:sz w:val="26"/>
          <w:szCs w:val="26"/>
        </w:rPr>
      </w:pPr>
      <w:r w:rsidRPr="00871E82">
        <w:rPr>
          <w:i/>
          <w:iCs/>
          <w:sz w:val="26"/>
          <w:szCs w:val="26"/>
        </w:rPr>
        <w:lastRenderedPageBreak/>
        <w:t>(</w:t>
      </w:r>
      <w:r>
        <w:rPr>
          <w:i/>
          <w:iCs/>
          <w:sz w:val="26"/>
          <w:szCs w:val="26"/>
        </w:rPr>
        <w:t>riallineamento scadenze piani edilizia scolastica</w:t>
      </w:r>
      <w:r w:rsidRPr="00871E82">
        <w:rPr>
          <w:i/>
          <w:iCs/>
          <w:sz w:val="26"/>
          <w:szCs w:val="26"/>
        </w:rPr>
        <w:t>)</w:t>
      </w:r>
    </w:p>
    <w:p w14:paraId="549BF247" w14:textId="77777777" w:rsidR="00431D36" w:rsidRDefault="00431D36" w:rsidP="00431D36">
      <w:pPr>
        <w:jc w:val="center"/>
        <w:rPr>
          <w:b/>
          <w:bCs/>
          <w:sz w:val="26"/>
          <w:szCs w:val="26"/>
        </w:rPr>
      </w:pPr>
    </w:p>
    <w:p w14:paraId="7DAA8167" w14:textId="77777777" w:rsidR="00431D36" w:rsidRDefault="00431D36" w:rsidP="00431D36">
      <w:pPr>
        <w:jc w:val="center"/>
        <w:rPr>
          <w:b/>
          <w:bCs/>
          <w:sz w:val="26"/>
          <w:szCs w:val="26"/>
        </w:rPr>
      </w:pPr>
      <w:bookmarkStart w:id="0" w:name="_Hlk87888774"/>
    </w:p>
    <w:p w14:paraId="1133570A" w14:textId="77777777" w:rsidR="00431D36" w:rsidRDefault="00431D36" w:rsidP="00431D36">
      <w:pPr>
        <w:jc w:val="center"/>
        <w:rPr>
          <w:b/>
          <w:bCs/>
          <w:sz w:val="26"/>
          <w:szCs w:val="26"/>
        </w:rPr>
      </w:pPr>
      <w:r>
        <w:rPr>
          <w:b/>
          <w:bCs/>
          <w:sz w:val="26"/>
          <w:szCs w:val="26"/>
        </w:rPr>
        <w:t>Emendamento</w:t>
      </w:r>
    </w:p>
    <w:p w14:paraId="799ECF9B" w14:textId="77777777" w:rsidR="00431D36" w:rsidRDefault="00431D36" w:rsidP="00431D36">
      <w:pPr>
        <w:jc w:val="center"/>
        <w:rPr>
          <w:b/>
          <w:bCs/>
          <w:sz w:val="26"/>
          <w:szCs w:val="26"/>
        </w:rPr>
      </w:pPr>
    </w:p>
    <w:p w14:paraId="5C8F5741" w14:textId="77777777" w:rsidR="00431D36" w:rsidRDefault="00431D36" w:rsidP="00431D36">
      <w:pPr>
        <w:jc w:val="center"/>
        <w:rPr>
          <w:b/>
          <w:bCs/>
          <w:sz w:val="26"/>
          <w:szCs w:val="26"/>
        </w:rPr>
      </w:pPr>
    </w:p>
    <w:p w14:paraId="021352D3" w14:textId="77777777" w:rsidR="00431D36" w:rsidRDefault="00431D36" w:rsidP="00431D36">
      <w:pPr>
        <w:jc w:val="center"/>
        <w:rPr>
          <w:b/>
          <w:bCs/>
          <w:sz w:val="26"/>
          <w:szCs w:val="26"/>
        </w:rPr>
      </w:pPr>
    </w:p>
    <w:p w14:paraId="3A5D25F2" w14:textId="77777777" w:rsidR="00431D36" w:rsidRPr="00A3704C" w:rsidRDefault="00431D36" w:rsidP="00431D36">
      <w:pPr>
        <w:jc w:val="center"/>
        <w:rPr>
          <w:b/>
          <w:bCs/>
          <w:sz w:val="26"/>
          <w:szCs w:val="26"/>
        </w:rPr>
      </w:pPr>
      <w:r w:rsidRPr="00A3704C">
        <w:rPr>
          <w:b/>
          <w:bCs/>
          <w:sz w:val="26"/>
          <w:szCs w:val="26"/>
        </w:rPr>
        <w:t>Articolo 5.</w:t>
      </w:r>
    </w:p>
    <w:p w14:paraId="22857EB9" w14:textId="77777777" w:rsidR="00431D36" w:rsidRDefault="00431D36" w:rsidP="00431D36">
      <w:pPr>
        <w:jc w:val="center"/>
        <w:rPr>
          <w:b/>
          <w:bCs/>
          <w:sz w:val="26"/>
          <w:szCs w:val="26"/>
        </w:rPr>
      </w:pPr>
      <w:r w:rsidRPr="00A3704C">
        <w:rPr>
          <w:b/>
          <w:bCs/>
          <w:sz w:val="26"/>
          <w:szCs w:val="26"/>
        </w:rPr>
        <w:t>(Proroga di termini in materia di istruzione)</w:t>
      </w:r>
    </w:p>
    <w:bookmarkEnd w:id="0"/>
    <w:p w14:paraId="765B4676" w14:textId="77777777" w:rsidR="00431D36" w:rsidRPr="0063051D" w:rsidRDefault="00431D36" w:rsidP="00431D36">
      <w:pPr>
        <w:jc w:val="center"/>
        <w:rPr>
          <w:b/>
          <w:bCs/>
          <w:sz w:val="26"/>
          <w:szCs w:val="26"/>
        </w:rPr>
      </w:pPr>
    </w:p>
    <w:p w14:paraId="26AB131B" w14:textId="77777777" w:rsidR="00431D36" w:rsidRPr="001726AC" w:rsidRDefault="00431D36" w:rsidP="00431D36">
      <w:pPr>
        <w:rPr>
          <w:b/>
          <w:bCs/>
          <w:i/>
          <w:iCs/>
          <w:sz w:val="26"/>
          <w:szCs w:val="26"/>
        </w:rPr>
      </w:pPr>
    </w:p>
    <w:p w14:paraId="0C08BE91" w14:textId="77777777" w:rsidR="00431D36" w:rsidRPr="001726AC" w:rsidRDefault="00431D36" w:rsidP="00431D36">
      <w:pPr>
        <w:rPr>
          <w:b/>
          <w:bCs/>
          <w:sz w:val="26"/>
          <w:szCs w:val="26"/>
        </w:rPr>
      </w:pPr>
      <w:r w:rsidRPr="001726AC">
        <w:rPr>
          <w:b/>
          <w:bCs/>
          <w:sz w:val="26"/>
          <w:szCs w:val="26"/>
        </w:rPr>
        <w:t>Dopo comma 3, inserire il seguente:</w:t>
      </w:r>
    </w:p>
    <w:p w14:paraId="4683664A" w14:textId="77777777" w:rsidR="00431D36" w:rsidRPr="001726AC" w:rsidRDefault="00431D36" w:rsidP="00431D36">
      <w:pPr>
        <w:rPr>
          <w:b/>
          <w:bCs/>
          <w:sz w:val="26"/>
          <w:szCs w:val="26"/>
        </w:rPr>
      </w:pPr>
    </w:p>
    <w:p w14:paraId="39F805C4" w14:textId="77777777" w:rsidR="00431D36" w:rsidRPr="001726AC" w:rsidRDefault="00431D36" w:rsidP="00431D36">
      <w:pPr>
        <w:jc w:val="both"/>
        <w:rPr>
          <w:b/>
          <w:bCs/>
          <w:i/>
          <w:iCs/>
          <w:sz w:val="26"/>
          <w:szCs w:val="26"/>
        </w:rPr>
      </w:pPr>
      <w:r w:rsidRPr="001726AC">
        <w:rPr>
          <w:b/>
          <w:bCs/>
          <w:sz w:val="26"/>
          <w:szCs w:val="26"/>
        </w:rPr>
        <w:t>“3-bis Per garantire una più efficace attuazione degli interventi previsti nel Piano nazionale di ripresa e resilienza, con riferimento ai Piani di edilizia scolastica già approvati e successivamente confluiti nel PNRR, tutte le scadenze per l’aggiudicazione dei lavori sono fissate al 31.12.2022”.</w:t>
      </w:r>
    </w:p>
    <w:p w14:paraId="7B0204B8" w14:textId="77777777" w:rsidR="00431D36" w:rsidRDefault="00431D36" w:rsidP="00431D36">
      <w:pPr>
        <w:jc w:val="both"/>
        <w:rPr>
          <w:i/>
          <w:sz w:val="26"/>
          <w:szCs w:val="26"/>
        </w:rPr>
      </w:pPr>
    </w:p>
    <w:p w14:paraId="177C02DA" w14:textId="77777777" w:rsidR="00431D36" w:rsidRDefault="00431D36" w:rsidP="00431D36">
      <w:pPr>
        <w:jc w:val="both"/>
        <w:rPr>
          <w:i/>
          <w:sz w:val="26"/>
          <w:szCs w:val="26"/>
        </w:rPr>
      </w:pPr>
    </w:p>
    <w:p w14:paraId="0B86305A" w14:textId="77777777" w:rsidR="00431D36" w:rsidRDefault="00431D36" w:rsidP="00431D36">
      <w:pPr>
        <w:jc w:val="both"/>
        <w:rPr>
          <w:i/>
          <w:sz w:val="26"/>
          <w:szCs w:val="26"/>
        </w:rPr>
      </w:pPr>
    </w:p>
    <w:p w14:paraId="35F9A74A" w14:textId="77777777" w:rsidR="00431D36" w:rsidRDefault="00431D36" w:rsidP="00431D36">
      <w:pPr>
        <w:jc w:val="both"/>
        <w:rPr>
          <w:i/>
          <w:sz w:val="26"/>
          <w:szCs w:val="26"/>
        </w:rPr>
      </w:pPr>
      <w:r>
        <w:rPr>
          <w:i/>
          <w:sz w:val="26"/>
          <w:szCs w:val="26"/>
        </w:rPr>
        <w:t>MOTIVAZIONE</w:t>
      </w:r>
    </w:p>
    <w:p w14:paraId="45939D5F" w14:textId="77777777" w:rsidR="00431D36" w:rsidRDefault="00431D36" w:rsidP="00431D36">
      <w:pPr>
        <w:jc w:val="both"/>
        <w:rPr>
          <w:i/>
          <w:sz w:val="26"/>
          <w:szCs w:val="26"/>
        </w:rPr>
      </w:pPr>
    </w:p>
    <w:p w14:paraId="4B091709" w14:textId="77777777" w:rsidR="00431D36" w:rsidRPr="001726AC" w:rsidRDefault="00431D36" w:rsidP="00431D36">
      <w:pPr>
        <w:jc w:val="both"/>
        <w:rPr>
          <w:i/>
          <w:iCs/>
          <w:sz w:val="26"/>
          <w:szCs w:val="26"/>
        </w:rPr>
      </w:pPr>
    </w:p>
    <w:p w14:paraId="36C57FB9" w14:textId="77777777" w:rsidR="00431D36" w:rsidRPr="001726AC" w:rsidRDefault="00431D36" w:rsidP="00431D36">
      <w:pPr>
        <w:widowControl/>
        <w:suppressAutoHyphens w:val="0"/>
        <w:jc w:val="both"/>
        <w:rPr>
          <w:rFonts w:eastAsia="Times New Roman" w:cs="Times New Roman"/>
          <w:i/>
          <w:iCs/>
          <w:kern w:val="0"/>
          <w:lang w:eastAsia="it-IT" w:bidi="ar-SA"/>
        </w:rPr>
      </w:pPr>
      <w:r w:rsidRPr="001726AC">
        <w:rPr>
          <w:rFonts w:eastAsia="Times New Roman" w:cs="Times New Roman"/>
          <w:i/>
          <w:iCs/>
          <w:kern w:val="0"/>
          <w:lang w:eastAsia="it-IT" w:bidi="ar-SA"/>
        </w:rPr>
        <w:t>Come è noto il PNRR impone scadenze serrate e non prorogabili, che dovranno necessariamente essere rispettate a parte degli enti attuatori degli interventi, ma che per i Piani di edilizia scolastica già in essere e successivamente confluiti nel PNRR risultano disallineate tra loro.</w:t>
      </w:r>
    </w:p>
    <w:p w14:paraId="51C1B2AC" w14:textId="77777777" w:rsidR="00431D36" w:rsidRPr="001726AC" w:rsidRDefault="00431D36" w:rsidP="00431D36">
      <w:pPr>
        <w:widowControl/>
        <w:suppressAutoHyphens w:val="0"/>
        <w:jc w:val="both"/>
        <w:rPr>
          <w:rFonts w:eastAsia="Times New Roman" w:cs="Times New Roman"/>
          <w:i/>
          <w:iCs/>
          <w:kern w:val="0"/>
          <w:lang w:eastAsia="it-IT" w:bidi="ar-SA"/>
        </w:rPr>
      </w:pPr>
    </w:p>
    <w:p w14:paraId="0EF061DB" w14:textId="77777777" w:rsidR="00431D36" w:rsidRPr="001726AC" w:rsidRDefault="00431D36" w:rsidP="00431D36">
      <w:pPr>
        <w:widowControl/>
        <w:suppressAutoHyphens w:val="0"/>
        <w:jc w:val="both"/>
        <w:rPr>
          <w:rFonts w:eastAsia="Times New Roman" w:cs="Times New Roman"/>
          <w:i/>
          <w:iCs/>
          <w:kern w:val="0"/>
          <w:lang w:eastAsia="it-IT" w:bidi="ar-SA"/>
        </w:rPr>
      </w:pPr>
      <w:r w:rsidRPr="001726AC">
        <w:rPr>
          <w:rFonts w:eastAsia="Times New Roman" w:cs="Times New Roman"/>
          <w:i/>
          <w:iCs/>
          <w:kern w:val="0"/>
          <w:lang w:eastAsia="it-IT" w:bidi="ar-SA"/>
        </w:rPr>
        <w:t>Per praticità si riporta uno schema di sintesi di seguito:</w:t>
      </w:r>
    </w:p>
    <w:p w14:paraId="36E6BB37" w14:textId="77777777" w:rsidR="00431D36" w:rsidRPr="001726AC" w:rsidRDefault="00431D36" w:rsidP="00431D36">
      <w:pPr>
        <w:widowControl/>
        <w:suppressAutoHyphens w:val="0"/>
        <w:jc w:val="both"/>
        <w:rPr>
          <w:rFonts w:eastAsia="Times New Roman" w:cs="Times New Roman"/>
          <w:i/>
          <w:iCs/>
          <w:kern w:val="0"/>
          <w:lang w:eastAsia="it-IT" w:bidi="ar-SA"/>
        </w:rPr>
      </w:pPr>
    </w:p>
    <w:p w14:paraId="4CA910B6"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b/>
          <w:bCs/>
          <w:i/>
          <w:iCs/>
          <w:kern w:val="0"/>
          <w:lang w:eastAsia="it-IT" w:bidi="ar-SA"/>
        </w:rPr>
        <w:t>Piano 2020</w:t>
      </w:r>
      <w:r w:rsidRPr="001726AC">
        <w:rPr>
          <w:rFonts w:eastAsia="Times New Roman" w:cs="Times New Roman"/>
          <w:i/>
          <w:iCs/>
          <w:kern w:val="0"/>
          <w:lang w:eastAsia="it-IT" w:bidi="ar-SA"/>
        </w:rPr>
        <w:t xml:space="preserve"> </w:t>
      </w:r>
      <w:r w:rsidRPr="001726AC">
        <w:rPr>
          <w:rFonts w:eastAsia="Times New Roman" w:cs="Times New Roman"/>
          <w:i/>
          <w:iCs/>
          <w:kern w:val="0"/>
          <w:lang w:eastAsia="it-IT" w:bidi="ar-SA"/>
        </w:rPr>
        <w:tab/>
      </w:r>
      <w:r w:rsidRPr="001726AC">
        <w:rPr>
          <w:rFonts w:eastAsia="Times New Roman" w:cs="Times New Roman"/>
          <w:i/>
          <w:iCs/>
          <w:kern w:val="0"/>
          <w:lang w:eastAsia="it-IT" w:bidi="ar-SA"/>
        </w:rPr>
        <w:tab/>
      </w:r>
      <w:r w:rsidRPr="001726AC">
        <w:rPr>
          <w:rFonts w:eastAsia="Times New Roman" w:cs="Times New Roman"/>
          <w:i/>
          <w:iCs/>
          <w:kern w:val="0"/>
          <w:lang w:eastAsia="it-IT" w:bidi="ar-SA"/>
        </w:rPr>
        <w:tab/>
        <w:t xml:space="preserve">(30.06.2022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xml:space="preserve"> – 31.12.2022 sopra soglia o nuove scuole)</w:t>
      </w:r>
    </w:p>
    <w:p w14:paraId="0CF2E6E5"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b/>
          <w:bCs/>
          <w:i/>
          <w:iCs/>
          <w:kern w:val="0"/>
          <w:lang w:eastAsia="it-IT" w:bidi="ar-SA"/>
        </w:rPr>
        <w:t>1° Piano Scuole Superiori</w:t>
      </w:r>
      <w:r w:rsidRPr="001726AC">
        <w:rPr>
          <w:rFonts w:eastAsia="Times New Roman" w:cs="Times New Roman"/>
          <w:i/>
          <w:iCs/>
          <w:kern w:val="0"/>
          <w:lang w:eastAsia="it-IT" w:bidi="ar-SA"/>
        </w:rPr>
        <w:t xml:space="preserve"> </w:t>
      </w:r>
      <w:r w:rsidRPr="001726AC">
        <w:rPr>
          <w:rFonts w:eastAsia="Times New Roman" w:cs="Times New Roman"/>
          <w:i/>
          <w:iCs/>
          <w:kern w:val="0"/>
          <w:lang w:eastAsia="it-IT" w:bidi="ar-SA"/>
        </w:rPr>
        <w:tab/>
        <w:t xml:space="preserve">(31.12 2022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sopra soglia e nuove scuole)</w:t>
      </w:r>
    </w:p>
    <w:p w14:paraId="5D908B53"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b/>
          <w:bCs/>
          <w:i/>
          <w:iCs/>
          <w:kern w:val="0"/>
          <w:lang w:eastAsia="it-IT" w:bidi="ar-SA"/>
        </w:rPr>
        <w:t>2° Piano Scuole Superiori</w:t>
      </w:r>
      <w:r w:rsidRPr="001726AC">
        <w:rPr>
          <w:rFonts w:eastAsia="Times New Roman" w:cs="Times New Roman"/>
          <w:i/>
          <w:iCs/>
          <w:kern w:val="0"/>
          <w:lang w:eastAsia="it-IT" w:bidi="ar-SA"/>
        </w:rPr>
        <w:tab/>
        <w:t xml:space="preserve">(30.08.2022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xml:space="preserve"> – 31.12.2022 sopra soglia o nuove scuole)</w:t>
      </w:r>
    </w:p>
    <w:p w14:paraId="0D3DC878"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b/>
          <w:bCs/>
          <w:i/>
          <w:iCs/>
          <w:kern w:val="0"/>
          <w:lang w:eastAsia="it-IT" w:bidi="ar-SA"/>
        </w:rPr>
        <w:t>Sisma 120</w:t>
      </w:r>
      <w:r w:rsidRPr="001726AC">
        <w:rPr>
          <w:rFonts w:eastAsia="Times New Roman" w:cs="Times New Roman"/>
          <w:i/>
          <w:iCs/>
          <w:kern w:val="0"/>
          <w:lang w:eastAsia="it-IT" w:bidi="ar-SA"/>
        </w:rPr>
        <w:t xml:space="preserve"> </w:t>
      </w:r>
      <w:r w:rsidRPr="001726AC">
        <w:rPr>
          <w:rFonts w:eastAsia="Times New Roman" w:cs="Times New Roman"/>
          <w:i/>
          <w:iCs/>
          <w:kern w:val="0"/>
          <w:lang w:eastAsia="it-IT" w:bidi="ar-SA"/>
        </w:rPr>
        <w:tab/>
      </w:r>
      <w:r w:rsidRPr="001726AC">
        <w:rPr>
          <w:rFonts w:eastAsia="Times New Roman" w:cs="Times New Roman"/>
          <w:i/>
          <w:iCs/>
          <w:kern w:val="0"/>
          <w:lang w:eastAsia="it-IT" w:bidi="ar-SA"/>
        </w:rPr>
        <w:tab/>
      </w:r>
      <w:r w:rsidRPr="001726AC">
        <w:rPr>
          <w:rFonts w:eastAsia="Times New Roman" w:cs="Times New Roman"/>
          <w:i/>
          <w:iCs/>
          <w:kern w:val="0"/>
          <w:lang w:eastAsia="it-IT" w:bidi="ar-SA"/>
        </w:rPr>
        <w:tab/>
        <w:t xml:space="preserve">(22.09.2021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xml:space="preserve"> – 22.03.2022 sopra soglia)</w:t>
      </w:r>
    </w:p>
    <w:p w14:paraId="16406ADA"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b/>
          <w:bCs/>
          <w:i/>
          <w:iCs/>
          <w:kern w:val="0"/>
          <w:lang w:eastAsia="it-IT" w:bidi="ar-SA"/>
        </w:rPr>
        <w:t>Piano 2019</w:t>
      </w:r>
      <w:r w:rsidRPr="001726AC">
        <w:rPr>
          <w:rFonts w:eastAsia="Times New Roman" w:cs="Times New Roman"/>
          <w:i/>
          <w:iCs/>
          <w:kern w:val="0"/>
          <w:lang w:eastAsia="it-IT" w:bidi="ar-SA"/>
        </w:rPr>
        <w:t xml:space="preserve">: </w:t>
      </w:r>
      <w:r w:rsidRPr="001726AC">
        <w:rPr>
          <w:rFonts w:eastAsia="Times New Roman" w:cs="Times New Roman"/>
          <w:i/>
          <w:iCs/>
          <w:kern w:val="0"/>
          <w:lang w:eastAsia="it-IT" w:bidi="ar-SA"/>
        </w:rPr>
        <w:tab/>
        <w:t xml:space="preserve">510 mln. </w:t>
      </w:r>
      <w:r w:rsidRPr="001726AC">
        <w:rPr>
          <w:rFonts w:eastAsia="Times New Roman" w:cs="Times New Roman"/>
          <w:i/>
          <w:iCs/>
          <w:kern w:val="0"/>
          <w:lang w:eastAsia="it-IT" w:bidi="ar-SA"/>
        </w:rPr>
        <w:tab/>
        <w:t xml:space="preserve">(06.05.2021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xml:space="preserve"> – 6.11.2021 sopra soglia o nuove scuole)</w:t>
      </w:r>
    </w:p>
    <w:p w14:paraId="404FFD12"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i/>
          <w:iCs/>
          <w:kern w:val="0"/>
          <w:lang w:eastAsia="it-IT" w:bidi="ar-SA"/>
        </w:rPr>
        <w:t xml:space="preserve">           </w:t>
      </w:r>
      <w:r w:rsidRPr="001726AC">
        <w:rPr>
          <w:rFonts w:eastAsia="Times New Roman" w:cs="Times New Roman"/>
          <w:i/>
          <w:iCs/>
          <w:kern w:val="0"/>
          <w:lang w:eastAsia="it-IT" w:bidi="ar-SA"/>
        </w:rPr>
        <w:tab/>
      </w:r>
      <w:r w:rsidRPr="001726AC">
        <w:rPr>
          <w:rFonts w:eastAsia="Times New Roman" w:cs="Times New Roman"/>
          <w:i/>
          <w:iCs/>
          <w:kern w:val="0"/>
          <w:lang w:eastAsia="it-IT" w:bidi="ar-SA"/>
        </w:rPr>
        <w:tab/>
        <w:t>320 mln</w:t>
      </w:r>
      <w:r w:rsidRPr="001726AC">
        <w:rPr>
          <w:rFonts w:eastAsia="Times New Roman" w:cs="Times New Roman"/>
          <w:i/>
          <w:iCs/>
          <w:kern w:val="0"/>
          <w:lang w:eastAsia="it-IT" w:bidi="ar-SA"/>
        </w:rPr>
        <w:tab/>
        <w:t xml:space="preserve">(24.09.2021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xml:space="preserve"> – 24.03.2022 sopra soglia o nuove scuole)</w:t>
      </w:r>
    </w:p>
    <w:p w14:paraId="57AC6724" w14:textId="77777777" w:rsidR="00431D36" w:rsidRPr="001726AC" w:rsidRDefault="00431D36" w:rsidP="00431D36">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iCs/>
          <w:kern w:val="0"/>
          <w:lang w:eastAsia="it-IT" w:bidi="ar-SA"/>
        </w:rPr>
      </w:pPr>
      <w:r w:rsidRPr="001726AC">
        <w:rPr>
          <w:rFonts w:eastAsia="Times New Roman" w:cs="Times New Roman"/>
          <w:i/>
          <w:iCs/>
          <w:kern w:val="0"/>
          <w:lang w:eastAsia="it-IT" w:bidi="ar-SA"/>
        </w:rPr>
        <w:t>…</w:t>
      </w:r>
      <w:r w:rsidRPr="001726AC">
        <w:rPr>
          <w:rFonts w:eastAsia="Times New Roman" w:cs="Times New Roman"/>
          <w:i/>
          <w:iCs/>
          <w:kern w:val="0"/>
          <w:lang w:eastAsia="it-IT" w:bidi="ar-SA"/>
        </w:rPr>
        <w:tab/>
      </w:r>
      <w:r w:rsidRPr="001726AC">
        <w:rPr>
          <w:rFonts w:eastAsia="Times New Roman" w:cs="Times New Roman"/>
          <w:i/>
          <w:iCs/>
          <w:kern w:val="0"/>
          <w:lang w:eastAsia="it-IT" w:bidi="ar-SA"/>
        </w:rPr>
        <w:tab/>
        <w:t>Puglia – ER</w:t>
      </w:r>
      <w:r w:rsidRPr="001726AC">
        <w:rPr>
          <w:rFonts w:eastAsia="Times New Roman" w:cs="Times New Roman"/>
          <w:i/>
          <w:iCs/>
          <w:kern w:val="0"/>
          <w:lang w:eastAsia="it-IT" w:bidi="ar-SA"/>
        </w:rPr>
        <w:tab/>
        <w:t xml:space="preserve">(1.08.2021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xml:space="preserve"> – 1.02.2022 sopra soglia o nuove scuole)</w:t>
      </w:r>
    </w:p>
    <w:p w14:paraId="0BFDB47C" w14:textId="77777777" w:rsidR="00431D36" w:rsidRPr="001726AC" w:rsidRDefault="00431D36" w:rsidP="00431D36">
      <w:pPr>
        <w:widowControl/>
        <w:suppressAutoHyphens w:val="0"/>
        <w:jc w:val="both"/>
        <w:rPr>
          <w:rFonts w:eastAsia="Times New Roman" w:cs="Times New Roman"/>
          <w:i/>
          <w:iCs/>
          <w:kern w:val="0"/>
          <w:lang w:eastAsia="it-IT" w:bidi="ar-SA"/>
        </w:rPr>
      </w:pPr>
    </w:p>
    <w:p w14:paraId="1F01BBCF" w14:textId="77777777" w:rsidR="00431D36" w:rsidRPr="001726AC" w:rsidRDefault="00431D36" w:rsidP="00431D36">
      <w:pPr>
        <w:widowControl/>
        <w:suppressAutoHyphens w:val="0"/>
        <w:jc w:val="both"/>
        <w:rPr>
          <w:rFonts w:eastAsia="Times New Roman" w:cs="Times New Roman"/>
          <w:i/>
          <w:iCs/>
          <w:kern w:val="0"/>
          <w:lang w:eastAsia="it-IT" w:bidi="ar-SA"/>
        </w:rPr>
      </w:pPr>
      <w:r w:rsidRPr="001726AC">
        <w:rPr>
          <w:rFonts w:eastAsia="Times New Roman" w:cs="Times New Roman"/>
          <w:i/>
          <w:iCs/>
          <w:kern w:val="0"/>
          <w:lang w:eastAsia="it-IT" w:bidi="ar-SA"/>
        </w:rPr>
        <w:t>Per semplificare il lavoro degli enti locali e garantire il pieno raggiungimento dei target stabiliti, l’emendamento si pone l’obiettivo  di rendere le tempistiche di aggiudicazione degli interventi congruenti e allineate tra loro, con particolare riferimento ai due Piani per le scuole superiori e al Piano 2020 che sono stati autorizzati con recenti provvedimenti dal Ministero, portando tutte le scadenze per aggiudicazione lavori (</w:t>
      </w:r>
      <w:proofErr w:type="gramStart"/>
      <w:r w:rsidRPr="001726AC">
        <w:rPr>
          <w:rFonts w:eastAsia="Times New Roman" w:cs="Times New Roman"/>
          <w:i/>
          <w:iCs/>
          <w:kern w:val="0"/>
          <w:lang w:eastAsia="it-IT" w:bidi="ar-SA"/>
        </w:rPr>
        <w:t>sotto soglia</w:t>
      </w:r>
      <w:proofErr w:type="gramEnd"/>
      <w:r w:rsidRPr="001726AC">
        <w:rPr>
          <w:rFonts w:eastAsia="Times New Roman" w:cs="Times New Roman"/>
          <w:i/>
          <w:iCs/>
          <w:kern w:val="0"/>
          <w:lang w:eastAsia="it-IT" w:bidi="ar-SA"/>
        </w:rPr>
        <w:t>, sopra sogli e nuove costruzioni) al 31.12.2022.</w:t>
      </w:r>
    </w:p>
    <w:p w14:paraId="208EC7F9" w14:textId="77777777" w:rsidR="00431D36" w:rsidRPr="001726AC" w:rsidRDefault="00431D36" w:rsidP="00431D36">
      <w:pPr>
        <w:jc w:val="both"/>
        <w:rPr>
          <w:i/>
          <w:iCs/>
          <w:sz w:val="26"/>
          <w:szCs w:val="26"/>
        </w:rPr>
      </w:pPr>
    </w:p>
    <w:p w14:paraId="209A51C8" w14:textId="77777777" w:rsidR="00431D36" w:rsidRDefault="00431D36" w:rsidP="00431D36">
      <w:pPr>
        <w:jc w:val="both"/>
        <w:rPr>
          <w:i/>
          <w:sz w:val="26"/>
          <w:szCs w:val="26"/>
        </w:rPr>
      </w:pPr>
    </w:p>
    <w:p w14:paraId="4907B15F" w14:textId="240E79DC" w:rsidR="00FA16ED" w:rsidRDefault="00FA16ED">
      <w:pPr>
        <w:widowControl/>
        <w:suppressAutoHyphens w:val="0"/>
        <w:spacing w:after="160" w:line="259" w:lineRule="auto"/>
        <w:rPr>
          <w:i/>
          <w:sz w:val="26"/>
          <w:szCs w:val="26"/>
        </w:rPr>
      </w:pPr>
      <w:r>
        <w:rPr>
          <w:i/>
          <w:sz w:val="26"/>
          <w:szCs w:val="26"/>
        </w:rPr>
        <w:br w:type="page"/>
      </w:r>
    </w:p>
    <w:p w14:paraId="0D50E0D8" w14:textId="77777777" w:rsidR="00431D36" w:rsidRDefault="00431D36" w:rsidP="00431D36">
      <w:pPr>
        <w:jc w:val="both"/>
        <w:rPr>
          <w:i/>
          <w:sz w:val="26"/>
          <w:szCs w:val="26"/>
        </w:rPr>
      </w:pPr>
    </w:p>
    <w:p w14:paraId="72CE7AB5" w14:textId="77777777" w:rsidR="00431D36" w:rsidRDefault="00431D36" w:rsidP="00431D36"/>
    <w:p w14:paraId="02C3C33F" w14:textId="77777777" w:rsidR="00431D36" w:rsidRPr="00431D36" w:rsidRDefault="00431D36" w:rsidP="00431D36">
      <w:pPr>
        <w:widowControl/>
        <w:suppressAutoHyphens w:val="0"/>
        <w:ind w:left="720" w:hanging="360"/>
        <w:jc w:val="right"/>
        <w:rPr>
          <w:rFonts w:ascii="Book Antiqua" w:eastAsiaTheme="minorHAnsi" w:hAnsi="Book Antiqua" w:cs="Arial"/>
          <w:i/>
          <w:iCs/>
          <w:kern w:val="0"/>
          <w:lang w:eastAsia="en-US" w:bidi="ar-SA"/>
        </w:rPr>
      </w:pPr>
      <w:r w:rsidRPr="00431D36">
        <w:rPr>
          <w:rFonts w:ascii="Book Antiqua" w:eastAsiaTheme="minorHAnsi" w:hAnsi="Book Antiqua" w:cs="Arial"/>
          <w:i/>
          <w:iCs/>
          <w:kern w:val="0"/>
          <w:lang w:eastAsia="en-US" w:bidi="ar-SA"/>
        </w:rPr>
        <w:t>rinvio rendicontazione 2021 risorse decreto ponti</w:t>
      </w:r>
    </w:p>
    <w:p w14:paraId="2B25F153" w14:textId="77777777" w:rsidR="00431D36" w:rsidRPr="00431D36" w:rsidRDefault="00431D36" w:rsidP="00431D36">
      <w:pPr>
        <w:widowControl/>
        <w:suppressAutoHyphens w:val="0"/>
        <w:ind w:left="720" w:hanging="360"/>
        <w:rPr>
          <w:rFonts w:ascii="Book Antiqua" w:eastAsiaTheme="minorHAnsi" w:hAnsi="Book Antiqua" w:cs="Arial"/>
          <w:kern w:val="0"/>
          <w:lang w:eastAsia="en-US" w:bidi="ar-SA"/>
        </w:rPr>
      </w:pPr>
    </w:p>
    <w:p w14:paraId="42F9C33D" w14:textId="77777777" w:rsidR="00431D36" w:rsidRPr="001726AC" w:rsidRDefault="00431D36" w:rsidP="00431D36">
      <w:pPr>
        <w:pStyle w:val="NormaleWeb"/>
        <w:jc w:val="center"/>
        <w:rPr>
          <w:b/>
          <w:bCs/>
          <w:sz w:val="26"/>
          <w:szCs w:val="26"/>
        </w:rPr>
      </w:pPr>
    </w:p>
    <w:p w14:paraId="3EA93C5E" w14:textId="2ED4BBD1" w:rsidR="00431D36" w:rsidRPr="001726AC" w:rsidRDefault="00431D36" w:rsidP="00431D36">
      <w:pPr>
        <w:pStyle w:val="NormaleWeb"/>
        <w:jc w:val="center"/>
        <w:rPr>
          <w:b/>
          <w:bCs/>
          <w:sz w:val="26"/>
          <w:szCs w:val="26"/>
        </w:rPr>
      </w:pPr>
      <w:r w:rsidRPr="001726AC">
        <w:rPr>
          <w:b/>
          <w:bCs/>
          <w:sz w:val="26"/>
          <w:szCs w:val="26"/>
        </w:rPr>
        <w:t xml:space="preserve">Articolo 10. </w:t>
      </w:r>
      <w:r w:rsidRPr="001726AC">
        <w:rPr>
          <w:b/>
          <w:bCs/>
          <w:sz w:val="26"/>
          <w:szCs w:val="26"/>
        </w:rPr>
        <w:br/>
        <w:t>(Proroga di termini in materia di infrastrutture e mobilità sostenibili)</w:t>
      </w:r>
    </w:p>
    <w:p w14:paraId="1F0B3676" w14:textId="77777777" w:rsidR="00431D36" w:rsidRPr="001726AC" w:rsidRDefault="00431D36" w:rsidP="00431D36">
      <w:pPr>
        <w:rPr>
          <w:rFonts w:cs="Times New Roman"/>
          <w:sz w:val="26"/>
          <w:szCs w:val="26"/>
        </w:rPr>
      </w:pPr>
      <w:r w:rsidRPr="001726AC">
        <w:rPr>
          <w:rFonts w:cs="Times New Roman"/>
          <w:sz w:val="26"/>
          <w:szCs w:val="26"/>
        </w:rPr>
        <w:t>Dopo comma 3, inserire il seguente:</w:t>
      </w:r>
    </w:p>
    <w:p w14:paraId="3C760615" w14:textId="77777777" w:rsidR="00431D36" w:rsidRPr="001726AC" w:rsidRDefault="00431D36" w:rsidP="00431D36">
      <w:pPr>
        <w:widowControl/>
        <w:suppressAutoHyphens w:val="0"/>
        <w:jc w:val="center"/>
        <w:rPr>
          <w:rFonts w:eastAsiaTheme="minorHAnsi" w:cs="Times New Roman"/>
          <w:i/>
          <w:iCs/>
          <w:kern w:val="0"/>
          <w:sz w:val="26"/>
          <w:szCs w:val="26"/>
          <w:lang w:eastAsia="en-US" w:bidi="ar-SA"/>
        </w:rPr>
      </w:pPr>
    </w:p>
    <w:p w14:paraId="64EF859E" w14:textId="129F0E74" w:rsidR="00431D36" w:rsidRPr="001726AC" w:rsidRDefault="00431D36" w:rsidP="00431D36">
      <w:pPr>
        <w:widowControl/>
        <w:suppressAutoHyphens w:val="0"/>
        <w:jc w:val="both"/>
        <w:rPr>
          <w:rFonts w:eastAsiaTheme="minorHAnsi" w:cs="Times New Roman"/>
          <w:b/>
          <w:bCs/>
          <w:kern w:val="0"/>
          <w:sz w:val="26"/>
          <w:szCs w:val="26"/>
          <w:lang w:eastAsia="en-US" w:bidi="ar-SA"/>
        </w:rPr>
      </w:pPr>
      <w:r w:rsidRPr="001726AC">
        <w:rPr>
          <w:rFonts w:eastAsiaTheme="minorHAnsi" w:cs="Times New Roman"/>
          <w:b/>
          <w:bCs/>
          <w:kern w:val="0"/>
          <w:sz w:val="26"/>
          <w:szCs w:val="26"/>
          <w:lang w:eastAsia="en-US" w:bidi="ar-SA"/>
        </w:rPr>
        <w:t>“3-bis: all’articolo 49, comma 1, del decreto legge 14 agosto 2020, n. 104, le parole “I soggetti attuatori certificano l’avvenuta realizzazione degli investimenti di cui al presente comma entro l’anno successivo a quello di utilizzazione dei fondi, mediante presentazione di apposito rendiconto” sono sostituite con le parole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53E5E98C" w14:textId="77777777" w:rsidR="00431D36" w:rsidRPr="001726AC" w:rsidRDefault="00431D36" w:rsidP="00431D36">
      <w:pPr>
        <w:widowControl/>
        <w:suppressAutoHyphens w:val="0"/>
        <w:jc w:val="both"/>
        <w:rPr>
          <w:rFonts w:eastAsiaTheme="minorHAnsi" w:cs="Times New Roman"/>
          <w:b/>
          <w:bCs/>
          <w:kern w:val="0"/>
          <w:sz w:val="26"/>
          <w:szCs w:val="26"/>
          <w:lang w:eastAsia="en-US" w:bidi="ar-SA"/>
        </w:rPr>
      </w:pPr>
    </w:p>
    <w:p w14:paraId="363D6FF5" w14:textId="2834EF50" w:rsidR="00431D36" w:rsidRDefault="00431D36" w:rsidP="00431D36">
      <w:pPr>
        <w:widowControl/>
        <w:suppressAutoHyphens w:val="0"/>
        <w:jc w:val="center"/>
        <w:rPr>
          <w:rFonts w:eastAsiaTheme="minorHAnsi" w:cs="Times New Roman"/>
          <w:i/>
          <w:iCs/>
          <w:kern w:val="0"/>
          <w:sz w:val="26"/>
          <w:szCs w:val="26"/>
          <w:lang w:eastAsia="en-US" w:bidi="ar-SA"/>
        </w:rPr>
      </w:pPr>
    </w:p>
    <w:p w14:paraId="11CDA137" w14:textId="18AE6398" w:rsidR="001726AC" w:rsidRDefault="001726AC" w:rsidP="00431D36">
      <w:pPr>
        <w:widowControl/>
        <w:suppressAutoHyphens w:val="0"/>
        <w:jc w:val="center"/>
        <w:rPr>
          <w:rFonts w:eastAsiaTheme="minorHAnsi" w:cs="Times New Roman"/>
          <w:i/>
          <w:iCs/>
          <w:kern w:val="0"/>
          <w:sz w:val="26"/>
          <w:szCs w:val="26"/>
          <w:lang w:eastAsia="en-US" w:bidi="ar-SA"/>
        </w:rPr>
      </w:pPr>
    </w:p>
    <w:p w14:paraId="752F82ED" w14:textId="3ABEAD97" w:rsidR="001726AC" w:rsidRDefault="001726AC" w:rsidP="00431D36">
      <w:pPr>
        <w:widowControl/>
        <w:suppressAutoHyphens w:val="0"/>
        <w:jc w:val="center"/>
        <w:rPr>
          <w:rFonts w:eastAsiaTheme="minorHAnsi" w:cs="Times New Roman"/>
          <w:i/>
          <w:iCs/>
          <w:kern w:val="0"/>
          <w:sz w:val="26"/>
          <w:szCs w:val="26"/>
          <w:lang w:eastAsia="en-US" w:bidi="ar-SA"/>
        </w:rPr>
      </w:pPr>
    </w:p>
    <w:p w14:paraId="40165E7C" w14:textId="77777777" w:rsidR="001726AC" w:rsidRPr="001726AC" w:rsidRDefault="001726AC" w:rsidP="00431D36">
      <w:pPr>
        <w:widowControl/>
        <w:suppressAutoHyphens w:val="0"/>
        <w:jc w:val="center"/>
        <w:rPr>
          <w:rFonts w:eastAsiaTheme="minorHAnsi" w:cs="Times New Roman"/>
          <w:i/>
          <w:iCs/>
          <w:kern w:val="0"/>
          <w:sz w:val="26"/>
          <w:szCs w:val="26"/>
          <w:lang w:eastAsia="en-US" w:bidi="ar-SA"/>
        </w:rPr>
      </w:pPr>
    </w:p>
    <w:p w14:paraId="6DFCEA82" w14:textId="77777777" w:rsidR="00431D36" w:rsidRPr="001726AC" w:rsidRDefault="00431D36" w:rsidP="00431D36">
      <w:pPr>
        <w:widowControl/>
        <w:suppressAutoHyphens w:val="0"/>
        <w:jc w:val="center"/>
        <w:rPr>
          <w:rFonts w:eastAsiaTheme="minorHAnsi" w:cs="Times New Roman"/>
          <w:i/>
          <w:iCs/>
          <w:kern w:val="0"/>
          <w:sz w:val="26"/>
          <w:szCs w:val="26"/>
          <w:lang w:eastAsia="en-US" w:bidi="ar-SA"/>
        </w:rPr>
      </w:pPr>
    </w:p>
    <w:p w14:paraId="1ABD7BA2" w14:textId="77777777" w:rsidR="00431D36" w:rsidRPr="001726AC" w:rsidRDefault="00431D36" w:rsidP="00431D36">
      <w:pPr>
        <w:widowControl/>
        <w:suppressAutoHyphens w:val="0"/>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MOTIVAZIONE</w:t>
      </w:r>
    </w:p>
    <w:p w14:paraId="723CB9CF" w14:textId="77777777" w:rsidR="00431D36" w:rsidRPr="001726AC" w:rsidRDefault="00431D36" w:rsidP="00431D36">
      <w:pPr>
        <w:widowControl/>
        <w:suppressAutoHyphens w:val="0"/>
        <w:jc w:val="center"/>
        <w:rPr>
          <w:rFonts w:eastAsiaTheme="minorHAnsi" w:cs="Times New Roman"/>
          <w:i/>
          <w:iCs/>
          <w:kern w:val="0"/>
          <w:sz w:val="26"/>
          <w:szCs w:val="26"/>
          <w:lang w:eastAsia="en-US" w:bidi="ar-SA"/>
        </w:rPr>
      </w:pPr>
    </w:p>
    <w:p w14:paraId="101D8791" w14:textId="77777777" w:rsidR="00085AF5" w:rsidRPr="001726AC" w:rsidRDefault="00431D36" w:rsidP="00431D36">
      <w:pPr>
        <w:widowControl/>
        <w:suppressAutoHyphens w:val="0"/>
        <w:jc w:val="both"/>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 xml:space="preserve">L’emendamento è finalizzato a garantire che la rendicontazione dei fondi dedicati a ponti e viadotti previsti per l’anno 2021, secondo </w:t>
      </w:r>
      <w:r w:rsidR="00085AF5" w:rsidRPr="001726AC">
        <w:rPr>
          <w:rFonts w:eastAsiaTheme="minorHAnsi" w:cs="Times New Roman"/>
          <w:i/>
          <w:iCs/>
          <w:kern w:val="0"/>
          <w:sz w:val="26"/>
          <w:szCs w:val="26"/>
          <w:lang w:eastAsia="en-US" w:bidi="ar-SA"/>
        </w:rPr>
        <w:t>il decreto pubblicato in GU il 16 luglio 2021 e che prevedeva una procedura di autorizzazione dei programmi di intervento che si è protratta fino al mese di novembre</w:t>
      </w:r>
      <w:r w:rsidRPr="001726AC">
        <w:rPr>
          <w:rFonts w:eastAsiaTheme="minorHAnsi" w:cs="Times New Roman"/>
          <w:i/>
          <w:iCs/>
          <w:kern w:val="0"/>
          <w:sz w:val="26"/>
          <w:szCs w:val="26"/>
          <w:lang w:eastAsia="en-US" w:bidi="ar-SA"/>
        </w:rPr>
        <w:t>, possa essere effettuata dagli enti entro la fine del 2023 (e non anche a fine 2022)</w:t>
      </w:r>
      <w:r w:rsidR="00085AF5" w:rsidRPr="001726AC">
        <w:rPr>
          <w:rFonts w:eastAsiaTheme="minorHAnsi" w:cs="Times New Roman"/>
          <w:i/>
          <w:iCs/>
          <w:kern w:val="0"/>
          <w:sz w:val="26"/>
          <w:szCs w:val="26"/>
          <w:lang w:eastAsia="en-US" w:bidi="ar-SA"/>
        </w:rPr>
        <w:t>.</w:t>
      </w:r>
    </w:p>
    <w:p w14:paraId="1EB130BD" w14:textId="09036C81" w:rsidR="00431D36" w:rsidRDefault="00085AF5" w:rsidP="00431D36">
      <w:pPr>
        <w:widowControl/>
        <w:suppressAutoHyphens w:val="0"/>
        <w:jc w:val="both"/>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 xml:space="preserve">I tempi ristretti infatti non hanno consentito </w:t>
      </w:r>
      <w:r w:rsidR="00D47C91" w:rsidRPr="001726AC">
        <w:rPr>
          <w:rFonts w:eastAsiaTheme="minorHAnsi" w:cs="Times New Roman"/>
          <w:i/>
          <w:iCs/>
          <w:kern w:val="0"/>
          <w:sz w:val="26"/>
          <w:szCs w:val="26"/>
          <w:lang w:eastAsia="en-US" w:bidi="ar-SA"/>
        </w:rPr>
        <w:t>agli enti di includere nelle procedure di assestamento dei bilanci queste risorse, non producendo così effetti</w:t>
      </w:r>
      <w:r w:rsidR="00431D36" w:rsidRPr="001726AC">
        <w:rPr>
          <w:rFonts w:eastAsiaTheme="minorHAnsi" w:cs="Times New Roman"/>
          <w:i/>
          <w:iCs/>
          <w:kern w:val="0"/>
          <w:sz w:val="26"/>
          <w:szCs w:val="26"/>
          <w:lang w:eastAsia="en-US" w:bidi="ar-SA"/>
        </w:rPr>
        <w:t xml:space="preserve"> concreti sul processo di investimento</w:t>
      </w:r>
      <w:r w:rsidR="00D47C91" w:rsidRPr="001726AC">
        <w:rPr>
          <w:rFonts w:eastAsiaTheme="minorHAnsi" w:cs="Times New Roman"/>
          <w:i/>
          <w:iCs/>
          <w:kern w:val="0"/>
          <w:sz w:val="26"/>
          <w:szCs w:val="26"/>
          <w:lang w:eastAsia="en-US" w:bidi="ar-SA"/>
        </w:rPr>
        <w:t xml:space="preserve">, cosa che potrebbe determinare </w:t>
      </w:r>
      <w:r w:rsidR="00431D36" w:rsidRPr="001726AC">
        <w:rPr>
          <w:rFonts w:eastAsiaTheme="minorHAnsi" w:cs="Times New Roman"/>
          <w:i/>
          <w:iCs/>
          <w:kern w:val="0"/>
          <w:sz w:val="26"/>
          <w:szCs w:val="26"/>
          <w:lang w:eastAsia="en-US" w:bidi="ar-SA"/>
        </w:rPr>
        <w:t xml:space="preserve"> la revoca del finanziamento stesso. </w:t>
      </w:r>
    </w:p>
    <w:p w14:paraId="63664AEE" w14:textId="665583E5" w:rsidR="00FA16ED" w:rsidRDefault="00FA16ED" w:rsidP="00431D36">
      <w:pPr>
        <w:widowControl/>
        <w:suppressAutoHyphens w:val="0"/>
        <w:jc w:val="both"/>
        <w:rPr>
          <w:rFonts w:eastAsiaTheme="minorHAnsi" w:cs="Times New Roman"/>
          <w:i/>
          <w:iCs/>
          <w:kern w:val="0"/>
          <w:sz w:val="26"/>
          <w:szCs w:val="26"/>
          <w:lang w:eastAsia="en-US" w:bidi="ar-SA"/>
        </w:rPr>
      </w:pPr>
    </w:p>
    <w:p w14:paraId="79B1D68F" w14:textId="36811B25" w:rsidR="00FA16ED" w:rsidRDefault="00FA16ED">
      <w:pPr>
        <w:widowControl/>
        <w:suppressAutoHyphens w:val="0"/>
        <w:spacing w:after="160" w:line="259" w:lineRule="auto"/>
        <w:rPr>
          <w:rFonts w:eastAsiaTheme="minorHAnsi" w:cs="Times New Roman"/>
          <w:i/>
          <w:iCs/>
          <w:kern w:val="0"/>
          <w:sz w:val="26"/>
          <w:szCs w:val="26"/>
          <w:lang w:eastAsia="en-US" w:bidi="ar-SA"/>
        </w:rPr>
      </w:pPr>
      <w:r>
        <w:rPr>
          <w:rFonts w:eastAsiaTheme="minorHAnsi" w:cs="Times New Roman"/>
          <w:i/>
          <w:iCs/>
          <w:kern w:val="0"/>
          <w:sz w:val="26"/>
          <w:szCs w:val="26"/>
          <w:lang w:eastAsia="en-US" w:bidi="ar-SA"/>
        </w:rPr>
        <w:br w:type="page"/>
      </w:r>
    </w:p>
    <w:p w14:paraId="15944451" w14:textId="6A821D50" w:rsidR="00D47C91" w:rsidRPr="00D47C91" w:rsidRDefault="00D47C91" w:rsidP="00D47C91">
      <w:pPr>
        <w:widowControl/>
        <w:suppressAutoHyphens w:val="0"/>
        <w:spacing w:after="160" w:line="259" w:lineRule="auto"/>
        <w:jc w:val="right"/>
        <w:rPr>
          <w:rFonts w:ascii="Book Antiqua" w:eastAsiaTheme="minorHAnsi" w:hAnsi="Book Antiqua" w:cs="Calibri"/>
          <w:i/>
          <w:iCs/>
          <w:kern w:val="0"/>
          <w:lang w:eastAsia="en-US" w:bidi="ar-SA"/>
        </w:rPr>
      </w:pPr>
      <w:r w:rsidRPr="00D47C91">
        <w:rPr>
          <w:rFonts w:ascii="Book Antiqua" w:eastAsiaTheme="minorHAnsi" w:hAnsi="Book Antiqua" w:cs="Calibri"/>
          <w:i/>
          <w:iCs/>
          <w:kern w:val="0"/>
          <w:lang w:eastAsia="en-US" w:bidi="ar-SA"/>
        </w:rPr>
        <w:lastRenderedPageBreak/>
        <w:t>utilizzo alienazioni patrimoniali</w:t>
      </w:r>
    </w:p>
    <w:p w14:paraId="094B3B10" w14:textId="77777777" w:rsidR="00D47C91" w:rsidRPr="001726AC" w:rsidRDefault="00D47C91" w:rsidP="00431D36">
      <w:pPr>
        <w:rPr>
          <w:sz w:val="26"/>
          <w:szCs w:val="26"/>
        </w:rPr>
      </w:pPr>
    </w:p>
    <w:p w14:paraId="0BD88ECE" w14:textId="77777777" w:rsidR="00D47C91" w:rsidRPr="001726AC" w:rsidRDefault="00D47C91" w:rsidP="00431D36">
      <w:pPr>
        <w:rPr>
          <w:sz w:val="26"/>
          <w:szCs w:val="26"/>
        </w:rPr>
      </w:pPr>
    </w:p>
    <w:p w14:paraId="112E79F8" w14:textId="77777777" w:rsidR="00D47C91" w:rsidRPr="001726AC" w:rsidRDefault="00D47C91" w:rsidP="00431D36">
      <w:pPr>
        <w:rPr>
          <w:sz w:val="26"/>
          <w:szCs w:val="26"/>
        </w:rPr>
      </w:pPr>
    </w:p>
    <w:p w14:paraId="49CD55F3" w14:textId="0DEB2671" w:rsidR="00431D36" w:rsidRPr="001726AC" w:rsidRDefault="00D47C91" w:rsidP="00D3160E">
      <w:pPr>
        <w:jc w:val="center"/>
        <w:rPr>
          <w:b/>
          <w:bCs/>
          <w:sz w:val="26"/>
          <w:szCs w:val="26"/>
        </w:rPr>
      </w:pPr>
      <w:r w:rsidRPr="001726AC">
        <w:rPr>
          <w:b/>
          <w:bCs/>
          <w:sz w:val="26"/>
          <w:szCs w:val="26"/>
        </w:rPr>
        <w:t xml:space="preserve">Articolo 3. </w:t>
      </w:r>
      <w:r w:rsidRPr="001726AC">
        <w:rPr>
          <w:b/>
          <w:bCs/>
          <w:sz w:val="26"/>
          <w:szCs w:val="26"/>
        </w:rPr>
        <w:br/>
        <w:t>(Proroga di termini in materia economica e finanziaria)</w:t>
      </w:r>
    </w:p>
    <w:p w14:paraId="7AB6A7F5" w14:textId="4C565192" w:rsidR="00D47C91" w:rsidRPr="001726AC" w:rsidRDefault="00D47C91" w:rsidP="00D3160E">
      <w:pPr>
        <w:jc w:val="center"/>
        <w:rPr>
          <w:b/>
          <w:bCs/>
          <w:sz w:val="26"/>
          <w:szCs w:val="26"/>
        </w:rPr>
      </w:pPr>
    </w:p>
    <w:p w14:paraId="268439B7" w14:textId="39A6D5A2" w:rsidR="00D47C91" w:rsidRPr="001726AC" w:rsidRDefault="00D47C91" w:rsidP="00D3160E">
      <w:pPr>
        <w:jc w:val="center"/>
        <w:rPr>
          <w:b/>
          <w:bCs/>
          <w:sz w:val="26"/>
          <w:szCs w:val="26"/>
        </w:rPr>
      </w:pPr>
    </w:p>
    <w:p w14:paraId="505E6B83" w14:textId="514F5B41" w:rsidR="00D47C91" w:rsidRPr="001726AC" w:rsidRDefault="00D47C91" w:rsidP="00431D36">
      <w:pPr>
        <w:rPr>
          <w:i/>
          <w:iCs/>
          <w:sz w:val="26"/>
          <w:szCs w:val="26"/>
        </w:rPr>
      </w:pPr>
    </w:p>
    <w:p w14:paraId="5A5AD79B" w14:textId="46EFD0DB" w:rsidR="00D47C91" w:rsidRPr="001726AC" w:rsidRDefault="001726AC" w:rsidP="00D47C91">
      <w:pPr>
        <w:widowControl/>
        <w:suppressAutoHyphens w:val="0"/>
        <w:jc w:val="both"/>
        <w:rPr>
          <w:rFonts w:eastAsiaTheme="minorHAnsi" w:cs="Times New Roman"/>
          <w:kern w:val="0"/>
          <w:sz w:val="26"/>
          <w:szCs w:val="26"/>
          <w:lang w:eastAsia="en-US" w:bidi="ar-SA"/>
        </w:rPr>
      </w:pPr>
      <w:r>
        <w:rPr>
          <w:rFonts w:eastAsiaTheme="minorHAnsi" w:cs="Times New Roman"/>
          <w:kern w:val="0"/>
          <w:sz w:val="26"/>
          <w:szCs w:val="26"/>
          <w:lang w:eastAsia="en-US" w:bidi="ar-SA"/>
        </w:rPr>
        <w:t>D</w:t>
      </w:r>
      <w:r w:rsidR="00D3160E" w:rsidRPr="001726AC">
        <w:rPr>
          <w:rFonts w:eastAsiaTheme="minorHAnsi" w:cs="Times New Roman"/>
          <w:kern w:val="0"/>
          <w:sz w:val="26"/>
          <w:szCs w:val="26"/>
          <w:lang w:eastAsia="en-US" w:bidi="ar-SA"/>
        </w:rPr>
        <w:t xml:space="preserve">opo il comma 6 è aggiunto il seguente: </w:t>
      </w:r>
    </w:p>
    <w:p w14:paraId="6A0E30DE" w14:textId="77777777" w:rsidR="00D47C91" w:rsidRPr="001726AC" w:rsidRDefault="00D47C91" w:rsidP="00D47C91">
      <w:pPr>
        <w:widowControl/>
        <w:suppressAutoHyphens w:val="0"/>
        <w:jc w:val="both"/>
        <w:rPr>
          <w:rFonts w:eastAsiaTheme="minorHAnsi" w:cs="Times New Roman"/>
          <w:i/>
          <w:iCs/>
          <w:kern w:val="0"/>
          <w:sz w:val="26"/>
          <w:szCs w:val="26"/>
          <w:lang w:eastAsia="en-US" w:bidi="ar-SA"/>
        </w:rPr>
      </w:pPr>
    </w:p>
    <w:p w14:paraId="3D75B381" w14:textId="5A0A0514" w:rsidR="00D47C91" w:rsidRPr="001726AC" w:rsidRDefault="00D3160E" w:rsidP="00D47C91">
      <w:pPr>
        <w:widowControl/>
        <w:suppressAutoHyphens w:val="0"/>
        <w:jc w:val="both"/>
        <w:rPr>
          <w:rFonts w:eastAsia="Times New Roman" w:cs="Times New Roman"/>
          <w:b/>
          <w:bCs/>
          <w:kern w:val="0"/>
          <w:sz w:val="26"/>
          <w:szCs w:val="26"/>
          <w:lang w:eastAsia="it-IT" w:bidi="ar-SA"/>
        </w:rPr>
      </w:pPr>
      <w:r w:rsidRPr="001726AC">
        <w:rPr>
          <w:rFonts w:eastAsia="Times New Roman" w:cs="Times New Roman"/>
          <w:b/>
          <w:bCs/>
          <w:kern w:val="0"/>
          <w:sz w:val="26"/>
          <w:szCs w:val="26"/>
          <w:lang w:eastAsia="it-IT" w:bidi="ar-SA"/>
        </w:rPr>
        <w:t xml:space="preserve">6.bis </w:t>
      </w:r>
      <w:r w:rsidR="00D47C91" w:rsidRPr="001726AC">
        <w:rPr>
          <w:rFonts w:eastAsia="Times New Roman" w:cs="Times New Roman"/>
          <w:b/>
          <w:bCs/>
          <w:kern w:val="0"/>
          <w:sz w:val="26"/>
          <w:szCs w:val="26"/>
          <w:lang w:eastAsia="it-IT" w:bidi="ar-SA"/>
        </w:rPr>
        <w:t xml:space="preserve">Al comma 866, articolo 1 della Legge </w:t>
      </w:r>
      <w:smartTag w:uri="urn:schemas-microsoft-com:office:smarttags" w:element="date">
        <w:smartTagPr>
          <w:attr w:name="Year" w:val="2017"/>
          <w:attr w:name="Day" w:val="27"/>
          <w:attr w:name="Month" w:val="12"/>
          <w:attr w:name="ls" w:val="trans"/>
        </w:smartTagPr>
        <w:r w:rsidR="00D47C91" w:rsidRPr="001726AC">
          <w:rPr>
            <w:rFonts w:eastAsia="Times New Roman" w:cs="Times New Roman"/>
            <w:b/>
            <w:bCs/>
            <w:kern w:val="0"/>
            <w:sz w:val="26"/>
            <w:szCs w:val="26"/>
            <w:lang w:eastAsia="it-IT" w:bidi="ar-SA"/>
          </w:rPr>
          <w:t>27 dicembre 2017</w:t>
        </w:r>
      </w:smartTag>
      <w:r w:rsidR="00D47C91" w:rsidRPr="001726AC">
        <w:rPr>
          <w:rFonts w:eastAsia="Times New Roman" w:cs="Times New Roman"/>
          <w:b/>
          <w:bCs/>
          <w:kern w:val="0"/>
          <w:sz w:val="26"/>
          <w:szCs w:val="26"/>
          <w:lang w:eastAsia="it-IT" w:bidi="ar-SA"/>
        </w:rPr>
        <w:t xml:space="preserve">, n. 205, è soppressa la lettera b) </w:t>
      </w:r>
    </w:p>
    <w:p w14:paraId="67742331" w14:textId="77777777" w:rsidR="00D47C91" w:rsidRPr="001726AC" w:rsidRDefault="00D47C91" w:rsidP="00D47C91">
      <w:pPr>
        <w:widowControl/>
        <w:suppressAutoHyphens w:val="0"/>
        <w:jc w:val="both"/>
        <w:rPr>
          <w:rFonts w:eastAsia="Times New Roman" w:cs="Times New Roman"/>
          <w:kern w:val="0"/>
          <w:sz w:val="26"/>
          <w:szCs w:val="26"/>
          <w:lang w:eastAsia="it-IT" w:bidi="ar-SA"/>
        </w:rPr>
      </w:pPr>
    </w:p>
    <w:p w14:paraId="6D770C01"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0B147036"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2A21862F"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63258640"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319C2289"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MOTIVAZIONE</w:t>
      </w:r>
    </w:p>
    <w:p w14:paraId="4DE5C114"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022CF7E8"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 xml:space="preserve">La norma che qui si intende emendare è quella che consente la possibilità di utilizzo di entrate patrimoniali per l’estinzione anticipata del debito, anche per la quota capitale in ammortamento, in presenza di determinate condizioni: </w:t>
      </w:r>
    </w:p>
    <w:p w14:paraId="122F3861"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3892A474" w14:textId="77777777" w:rsidR="00D47C91" w:rsidRPr="001726AC" w:rsidRDefault="00D47C91" w:rsidP="00D47C91">
      <w:pPr>
        <w:widowControl/>
        <w:suppressAutoHyphens w:val="0"/>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 xml:space="preserve">a) che l’ente dimostri, con riferimento al bilancio consolidato dell'esercizio precedente, un rapporto tra totale delle immobilizzazioni e debiti da finanziamento superiore a 2; </w:t>
      </w:r>
    </w:p>
    <w:p w14:paraId="6CBBBDFF" w14:textId="77777777" w:rsidR="00D47C91" w:rsidRPr="001726AC" w:rsidRDefault="00D47C91" w:rsidP="00D47C91">
      <w:pPr>
        <w:widowControl/>
        <w:suppressAutoHyphens w:val="0"/>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 xml:space="preserve">b) che l’ente, in sede di bilancio di previsione non registri incrementi di spesa corrente ricorrente, </w:t>
      </w:r>
    </w:p>
    <w:p w14:paraId="7974C0E4" w14:textId="77777777" w:rsidR="00D47C91" w:rsidRPr="001726AC" w:rsidRDefault="00D47C91" w:rsidP="00D47C91">
      <w:pPr>
        <w:widowControl/>
        <w:suppressAutoHyphens w:val="0"/>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 xml:space="preserve">c) che l’ente sia in regola con gli accantonamenti al fondo crediti di dubbia esigibilità. </w:t>
      </w:r>
    </w:p>
    <w:p w14:paraId="0F18E258"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48AFF2A8"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L’emendamento è finalizzato ad eliminare la condizione di cui alla lettera b) (incremento di spesa corrente) poiché non risponde alla logica di flessibilità che invece era a monte della disciplina recata dal comma 866.</w:t>
      </w:r>
    </w:p>
    <w:p w14:paraId="20FCE2B6"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p>
    <w:p w14:paraId="20922521" w14:textId="77777777" w:rsidR="00D47C91" w:rsidRPr="001726AC" w:rsidRDefault="00D47C91" w:rsidP="00D47C91">
      <w:pPr>
        <w:widowControl/>
        <w:suppressAutoHyphens w:val="0"/>
        <w:jc w:val="both"/>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A distanza di quattro anni dalla formulazione della norma, infatti, si propone l’eliminazione del vincolo previsto dalla lettera b), che renderebbe difficilmente applicabile tale flessibilità a fronte di dinamiche di incremento della spesa corrente pressocché definite, come gli incrementi di spesa di personale derivanti dall’applicazione dei rinnovi contrattuali, l’incremento delle spese per beni e servizi dovuto all’incremento del costo delle materie prime e quindi dell’inflazione, nonché l’incremento della componente interessi nelle rate di mutuo oggetto di rinegoziazione per effetto del rallentamento nella restituzione della quota capitale rispetto al piano di ammortamento originario.</w:t>
      </w:r>
    </w:p>
    <w:p w14:paraId="21A721A1" w14:textId="66332559" w:rsidR="00FA16ED" w:rsidRDefault="00D47C91" w:rsidP="00D47C91">
      <w:pPr>
        <w:widowControl/>
        <w:suppressAutoHyphens w:val="0"/>
        <w:jc w:val="both"/>
        <w:rPr>
          <w:rFonts w:eastAsia="Times New Roman" w:cs="Times New Roman"/>
          <w:bCs/>
          <w:i/>
          <w:iCs/>
          <w:kern w:val="0"/>
          <w:sz w:val="26"/>
          <w:szCs w:val="26"/>
          <w:lang w:eastAsia="it-IT" w:bidi="ar-SA"/>
        </w:rPr>
      </w:pPr>
      <w:r w:rsidRPr="001726AC">
        <w:rPr>
          <w:rFonts w:eastAsia="Times New Roman" w:cs="Times New Roman"/>
          <w:bCs/>
          <w:i/>
          <w:iCs/>
          <w:kern w:val="0"/>
          <w:sz w:val="26"/>
          <w:szCs w:val="26"/>
          <w:lang w:eastAsia="it-IT" w:bidi="ar-SA"/>
        </w:rPr>
        <w:t>Restano fermi i vincoli di cui alla lettera a) e c).</w:t>
      </w:r>
    </w:p>
    <w:p w14:paraId="532CA511" w14:textId="77777777" w:rsidR="00FA16ED" w:rsidRDefault="00FA16ED">
      <w:pPr>
        <w:widowControl/>
        <w:suppressAutoHyphens w:val="0"/>
        <w:spacing w:after="160" w:line="259" w:lineRule="auto"/>
        <w:rPr>
          <w:rFonts w:eastAsia="Times New Roman" w:cs="Times New Roman"/>
          <w:bCs/>
          <w:i/>
          <w:iCs/>
          <w:kern w:val="0"/>
          <w:sz w:val="26"/>
          <w:szCs w:val="26"/>
          <w:lang w:eastAsia="it-IT" w:bidi="ar-SA"/>
        </w:rPr>
      </w:pPr>
      <w:r>
        <w:rPr>
          <w:rFonts w:eastAsia="Times New Roman" w:cs="Times New Roman"/>
          <w:bCs/>
          <w:i/>
          <w:iCs/>
          <w:kern w:val="0"/>
          <w:sz w:val="26"/>
          <w:szCs w:val="26"/>
          <w:lang w:eastAsia="it-IT" w:bidi="ar-SA"/>
        </w:rPr>
        <w:br w:type="page"/>
      </w:r>
    </w:p>
    <w:p w14:paraId="6966D1E7" w14:textId="77777777" w:rsidR="00D3160E" w:rsidRPr="00D3160E" w:rsidRDefault="00D3160E" w:rsidP="00D3160E">
      <w:pPr>
        <w:widowControl/>
        <w:suppressAutoHyphens w:val="0"/>
        <w:ind w:left="720" w:hanging="360"/>
        <w:jc w:val="right"/>
        <w:rPr>
          <w:rFonts w:ascii="Book Antiqua" w:eastAsiaTheme="minorHAnsi" w:hAnsi="Book Antiqua" w:cs="Calibri"/>
          <w:i/>
          <w:iCs/>
          <w:kern w:val="0"/>
          <w:lang w:eastAsia="en-US" w:bidi="ar-SA"/>
        </w:rPr>
      </w:pPr>
      <w:r w:rsidRPr="00D3160E">
        <w:rPr>
          <w:rFonts w:ascii="Book Antiqua" w:eastAsiaTheme="minorHAnsi" w:hAnsi="Book Antiqua" w:cs="Calibri"/>
          <w:i/>
          <w:iCs/>
          <w:kern w:val="0"/>
          <w:lang w:eastAsia="en-US" w:bidi="ar-SA"/>
        </w:rPr>
        <w:lastRenderedPageBreak/>
        <w:t xml:space="preserve">proroga moratoria mutui sisma 2016 Centro Italia </w:t>
      </w:r>
    </w:p>
    <w:p w14:paraId="288F69DB" w14:textId="77777777" w:rsidR="00D3160E" w:rsidRPr="00D3160E" w:rsidRDefault="00D3160E" w:rsidP="00D3160E">
      <w:pPr>
        <w:widowControl/>
        <w:suppressAutoHyphens w:val="0"/>
        <w:ind w:left="720" w:hanging="360"/>
        <w:jc w:val="center"/>
        <w:rPr>
          <w:rFonts w:ascii="Book Antiqua" w:eastAsiaTheme="minorHAnsi" w:hAnsi="Book Antiqua" w:cs="Calibri"/>
          <w:b/>
          <w:bCs/>
          <w:kern w:val="0"/>
          <w:lang w:eastAsia="en-US" w:bidi="ar-SA"/>
        </w:rPr>
      </w:pPr>
    </w:p>
    <w:p w14:paraId="20DCAF5B" w14:textId="77777777" w:rsidR="00D3160E" w:rsidRPr="00D3160E" w:rsidRDefault="00D3160E" w:rsidP="00D3160E">
      <w:pPr>
        <w:widowControl/>
        <w:suppressAutoHyphens w:val="0"/>
        <w:ind w:left="720" w:hanging="360"/>
        <w:jc w:val="center"/>
        <w:rPr>
          <w:rFonts w:ascii="Book Antiqua" w:eastAsiaTheme="minorHAnsi" w:hAnsi="Book Antiqua" w:cs="Calibri"/>
          <w:b/>
          <w:bCs/>
          <w:kern w:val="0"/>
          <w:lang w:eastAsia="en-US" w:bidi="ar-SA"/>
        </w:rPr>
      </w:pPr>
    </w:p>
    <w:p w14:paraId="54D1C295" w14:textId="77777777" w:rsidR="00D3160E" w:rsidRPr="009B63C3" w:rsidRDefault="00D3160E" w:rsidP="00D3160E">
      <w:pPr>
        <w:rPr>
          <w:rFonts w:cs="Times New Roman"/>
          <w:sz w:val="26"/>
          <w:szCs w:val="26"/>
        </w:rPr>
      </w:pPr>
    </w:p>
    <w:p w14:paraId="0E22C3C5" w14:textId="77777777" w:rsidR="00D3160E" w:rsidRPr="009B63C3" w:rsidRDefault="00D3160E" w:rsidP="00D3160E">
      <w:pPr>
        <w:jc w:val="center"/>
        <w:rPr>
          <w:rFonts w:cs="Times New Roman"/>
          <w:b/>
          <w:bCs/>
          <w:sz w:val="26"/>
          <w:szCs w:val="26"/>
        </w:rPr>
      </w:pPr>
      <w:r w:rsidRPr="009B63C3">
        <w:rPr>
          <w:rFonts w:cs="Times New Roman"/>
          <w:b/>
          <w:bCs/>
          <w:sz w:val="26"/>
          <w:szCs w:val="26"/>
        </w:rPr>
        <w:t xml:space="preserve">Articolo 3. </w:t>
      </w:r>
      <w:r w:rsidRPr="009B63C3">
        <w:rPr>
          <w:rFonts w:cs="Times New Roman"/>
          <w:b/>
          <w:bCs/>
          <w:sz w:val="26"/>
          <w:szCs w:val="26"/>
        </w:rPr>
        <w:br/>
        <w:t>(Proroga di termini in materia economica e finanziaria)</w:t>
      </w:r>
    </w:p>
    <w:p w14:paraId="66BD16C9" w14:textId="77777777" w:rsidR="00D3160E" w:rsidRPr="009B63C3" w:rsidRDefault="00D3160E" w:rsidP="00D3160E">
      <w:pPr>
        <w:jc w:val="center"/>
        <w:rPr>
          <w:rFonts w:cs="Times New Roman"/>
          <w:b/>
          <w:bCs/>
          <w:sz w:val="26"/>
          <w:szCs w:val="26"/>
        </w:rPr>
      </w:pPr>
    </w:p>
    <w:p w14:paraId="7F1FFC06" w14:textId="77777777" w:rsidR="00D3160E" w:rsidRPr="009B63C3" w:rsidRDefault="00D3160E" w:rsidP="00D3160E">
      <w:pPr>
        <w:jc w:val="center"/>
        <w:rPr>
          <w:rFonts w:cs="Times New Roman"/>
          <w:b/>
          <w:bCs/>
          <w:sz w:val="26"/>
          <w:szCs w:val="26"/>
        </w:rPr>
      </w:pPr>
    </w:p>
    <w:p w14:paraId="09147EAD" w14:textId="77777777" w:rsidR="00D3160E" w:rsidRPr="009B63C3" w:rsidRDefault="00D3160E" w:rsidP="00D3160E">
      <w:pPr>
        <w:rPr>
          <w:rFonts w:cs="Times New Roman"/>
          <w:i/>
          <w:iCs/>
          <w:sz w:val="26"/>
          <w:szCs w:val="26"/>
        </w:rPr>
      </w:pPr>
    </w:p>
    <w:p w14:paraId="724C5623" w14:textId="77777777" w:rsidR="00D3160E" w:rsidRPr="009B63C3" w:rsidRDefault="00D3160E" w:rsidP="00D3160E">
      <w:pPr>
        <w:rPr>
          <w:rFonts w:cs="Times New Roman"/>
          <w:i/>
          <w:iCs/>
          <w:sz w:val="26"/>
          <w:szCs w:val="26"/>
        </w:rPr>
      </w:pPr>
    </w:p>
    <w:p w14:paraId="75916BC1" w14:textId="77777777" w:rsidR="00D3160E" w:rsidRPr="009B63C3" w:rsidRDefault="00D3160E" w:rsidP="00D3160E">
      <w:pPr>
        <w:widowControl/>
        <w:suppressAutoHyphens w:val="0"/>
        <w:jc w:val="both"/>
        <w:rPr>
          <w:rFonts w:eastAsiaTheme="minorHAnsi" w:cs="Times New Roman"/>
          <w:i/>
          <w:iCs/>
          <w:kern w:val="0"/>
          <w:sz w:val="26"/>
          <w:szCs w:val="26"/>
          <w:lang w:eastAsia="en-US" w:bidi="ar-SA"/>
        </w:rPr>
      </w:pPr>
    </w:p>
    <w:p w14:paraId="66DFD2CE" w14:textId="31FADDB3" w:rsidR="00D3160E" w:rsidRPr="009B63C3" w:rsidRDefault="001726AC" w:rsidP="00D3160E">
      <w:pPr>
        <w:widowControl/>
        <w:suppressAutoHyphens w:val="0"/>
        <w:jc w:val="both"/>
        <w:rPr>
          <w:rFonts w:eastAsiaTheme="minorHAnsi" w:cs="Times New Roman"/>
          <w:b/>
          <w:bCs/>
          <w:kern w:val="0"/>
          <w:sz w:val="26"/>
          <w:szCs w:val="26"/>
          <w:lang w:eastAsia="en-US" w:bidi="ar-SA"/>
        </w:rPr>
      </w:pPr>
      <w:r w:rsidRPr="009B63C3">
        <w:rPr>
          <w:rFonts w:eastAsiaTheme="minorHAnsi" w:cs="Times New Roman"/>
          <w:b/>
          <w:bCs/>
          <w:kern w:val="0"/>
          <w:sz w:val="26"/>
          <w:szCs w:val="26"/>
          <w:lang w:eastAsia="en-US" w:bidi="ar-SA"/>
        </w:rPr>
        <w:t>D</w:t>
      </w:r>
      <w:r w:rsidR="00D3160E" w:rsidRPr="009B63C3">
        <w:rPr>
          <w:rFonts w:eastAsiaTheme="minorHAnsi" w:cs="Times New Roman"/>
          <w:b/>
          <w:bCs/>
          <w:kern w:val="0"/>
          <w:sz w:val="26"/>
          <w:szCs w:val="26"/>
          <w:lang w:eastAsia="en-US" w:bidi="ar-SA"/>
        </w:rPr>
        <w:t xml:space="preserve">opo il comma 6 è aggiunto il seguente: </w:t>
      </w:r>
    </w:p>
    <w:p w14:paraId="5E3B7C99" w14:textId="77777777" w:rsidR="00D3160E" w:rsidRPr="009B63C3" w:rsidRDefault="00D3160E" w:rsidP="00D3160E">
      <w:pPr>
        <w:widowControl/>
        <w:suppressAutoHyphens w:val="0"/>
        <w:ind w:left="720" w:hanging="360"/>
        <w:rPr>
          <w:rFonts w:eastAsiaTheme="minorHAnsi" w:cs="Times New Roman"/>
          <w:b/>
          <w:bCs/>
          <w:kern w:val="0"/>
          <w:sz w:val="26"/>
          <w:szCs w:val="26"/>
          <w:lang w:eastAsia="en-US" w:bidi="ar-SA"/>
        </w:rPr>
      </w:pPr>
    </w:p>
    <w:p w14:paraId="2B27F37E" w14:textId="1CB48693" w:rsidR="00D3160E" w:rsidRPr="009B63C3" w:rsidRDefault="001726AC" w:rsidP="00D3160E">
      <w:pPr>
        <w:widowControl/>
        <w:suppressAutoHyphens w:val="0"/>
        <w:jc w:val="both"/>
        <w:rPr>
          <w:rFonts w:eastAsiaTheme="minorHAnsi" w:cs="Times New Roman"/>
          <w:b/>
          <w:bCs/>
          <w:kern w:val="0"/>
          <w:sz w:val="26"/>
          <w:szCs w:val="26"/>
          <w:lang w:eastAsia="en-US" w:bidi="ar-SA"/>
        </w:rPr>
      </w:pPr>
      <w:proofErr w:type="gramStart"/>
      <w:r w:rsidRPr="009B63C3">
        <w:rPr>
          <w:rFonts w:eastAsiaTheme="minorHAnsi" w:cs="Times New Roman"/>
          <w:b/>
          <w:bCs/>
          <w:kern w:val="0"/>
          <w:sz w:val="26"/>
          <w:szCs w:val="26"/>
          <w:lang w:eastAsia="en-US" w:bidi="ar-SA"/>
        </w:rPr>
        <w:t>6</w:t>
      </w:r>
      <w:proofErr w:type="gramEnd"/>
      <w:r w:rsidR="00D3160E" w:rsidRPr="009B63C3">
        <w:rPr>
          <w:rFonts w:eastAsiaTheme="minorHAnsi" w:cs="Times New Roman"/>
          <w:b/>
          <w:bCs/>
          <w:kern w:val="0"/>
          <w:sz w:val="26"/>
          <w:szCs w:val="26"/>
          <w:lang w:eastAsia="en-US" w:bidi="ar-SA"/>
        </w:rPr>
        <w:t xml:space="preserve"> bis. All’articolo 44, comma 1,  del decreto legge 17 ottobre 2016, n. 189, convertito, con modificazioni, dalla legge 15 dicembre 2016, n. 229, le parole “negli esercizi 2018, 2019, 2020 e 2021 è altresì differito” sono sostituite dalle parole “negli esercizi 2018, 2019, 2020, 2021, 2022 e 2023 è altresì differito”; le parole “al primo, al secondo, al terzo e al quarto anno immediatamente successivi” sono sostituite dalle parole “al primo, al secondo, al terzo, al quarto, al quinto anno e al sesto anno immediatamente successivo”  </w:t>
      </w:r>
    </w:p>
    <w:p w14:paraId="36B4F08E" w14:textId="77777777" w:rsidR="00D3160E" w:rsidRPr="009B63C3" w:rsidRDefault="00D3160E" w:rsidP="00D3160E">
      <w:pPr>
        <w:widowControl/>
        <w:suppressAutoHyphens w:val="0"/>
        <w:jc w:val="both"/>
        <w:rPr>
          <w:rFonts w:eastAsiaTheme="minorHAnsi" w:cs="Times New Roman"/>
          <w:kern w:val="0"/>
          <w:sz w:val="26"/>
          <w:szCs w:val="26"/>
          <w:lang w:eastAsia="en-US" w:bidi="ar-SA"/>
        </w:rPr>
      </w:pPr>
    </w:p>
    <w:p w14:paraId="567D51E0" w14:textId="77777777" w:rsidR="00D3160E" w:rsidRPr="009B63C3" w:rsidRDefault="00D3160E" w:rsidP="00D3160E">
      <w:pPr>
        <w:widowControl/>
        <w:suppressAutoHyphens w:val="0"/>
        <w:jc w:val="both"/>
        <w:rPr>
          <w:rFonts w:eastAsiaTheme="minorHAnsi" w:cs="Times New Roman"/>
          <w:kern w:val="0"/>
          <w:sz w:val="26"/>
          <w:szCs w:val="26"/>
          <w:lang w:eastAsia="en-US" w:bidi="ar-SA"/>
        </w:rPr>
      </w:pPr>
    </w:p>
    <w:p w14:paraId="20BAD37F" w14:textId="77777777" w:rsidR="00D3160E" w:rsidRPr="009B63C3" w:rsidRDefault="00D3160E" w:rsidP="00D3160E">
      <w:pPr>
        <w:widowControl/>
        <w:suppressAutoHyphens w:val="0"/>
        <w:jc w:val="both"/>
        <w:rPr>
          <w:rFonts w:eastAsiaTheme="minorHAnsi" w:cs="Times New Roman"/>
          <w:i/>
          <w:iCs/>
          <w:kern w:val="0"/>
          <w:sz w:val="26"/>
          <w:szCs w:val="26"/>
          <w:lang w:eastAsia="en-US" w:bidi="ar-SA"/>
        </w:rPr>
      </w:pPr>
    </w:p>
    <w:p w14:paraId="3A506FCD" w14:textId="77777777" w:rsidR="00D3160E" w:rsidRPr="009B63C3" w:rsidRDefault="00D3160E" w:rsidP="00D3160E">
      <w:pPr>
        <w:widowControl/>
        <w:suppressAutoHyphens w:val="0"/>
        <w:jc w:val="both"/>
        <w:rPr>
          <w:rFonts w:eastAsiaTheme="minorHAnsi" w:cs="Times New Roman"/>
          <w:i/>
          <w:iCs/>
          <w:kern w:val="0"/>
          <w:sz w:val="26"/>
          <w:szCs w:val="26"/>
          <w:lang w:eastAsia="en-US" w:bidi="ar-SA"/>
        </w:rPr>
      </w:pPr>
      <w:r w:rsidRPr="009B63C3">
        <w:rPr>
          <w:rFonts w:eastAsiaTheme="minorHAnsi" w:cs="Times New Roman"/>
          <w:i/>
          <w:iCs/>
          <w:kern w:val="0"/>
          <w:sz w:val="26"/>
          <w:szCs w:val="26"/>
          <w:lang w:eastAsia="en-US" w:bidi="ar-SA"/>
        </w:rPr>
        <w:t xml:space="preserve">MOTIVAZIONE </w:t>
      </w:r>
    </w:p>
    <w:p w14:paraId="3ADDDBF2" w14:textId="77777777" w:rsidR="00D3160E" w:rsidRPr="009B63C3" w:rsidRDefault="00D3160E" w:rsidP="00D3160E">
      <w:pPr>
        <w:widowControl/>
        <w:suppressAutoHyphens w:val="0"/>
        <w:jc w:val="both"/>
        <w:rPr>
          <w:rFonts w:eastAsiaTheme="minorHAnsi" w:cs="Times New Roman"/>
          <w:i/>
          <w:iCs/>
          <w:kern w:val="0"/>
          <w:sz w:val="26"/>
          <w:szCs w:val="26"/>
          <w:lang w:eastAsia="en-US" w:bidi="ar-SA"/>
        </w:rPr>
      </w:pPr>
    </w:p>
    <w:p w14:paraId="6C4BAFE6" w14:textId="77777777" w:rsidR="00D3160E" w:rsidRPr="009B63C3" w:rsidRDefault="00D3160E" w:rsidP="00D3160E">
      <w:pPr>
        <w:widowControl/>
        <w:suppressAutoHyphens w:val="0"/>
        <w:jc w:val="both"/>
        <w:rPr>
          <w:rFonts w:eastAsiaTheme="minorHAnsi" w:cs="Times New Roman"/>
          <w:i/>
          <w:iCs/>
          <w:kern w:val="0"/>
          <w:sz w:val="26"/>
          <w:szCs w:val="26"/>
          <w:lang w:eastAsia="en-US" w:bidi="ar-SA"/>
        </w:rPr>
      </w:pPr>
      <w:r w:rsidRPr="009B63C3">
        <w:rPr>
          <w:rFonts w:eastAsiaTheme="minorHAnsi" w:cs="Times New Roman"/>
          <w:i/>
          <w:iCs/>
          <w:kern w:val="0"/>
          <w:sz w:val="26"/>
          <w:szCs w:val="26"/>
          <w:lang w:eastAsia="en-US" w:bidi="ar-SA"/>
        </w:rPr>
        <w:t>L’emendamento è finalizzato a prorogare anche per gli anni 2022 e 2023 il pagamento delle rate in scadenza dei mutui CDP, con differimento all’anno immediatamente successivo alla data di scadenza del periodo di ammortamento, con riferimento agli enti colpiti dal sisma 2016. Già negli anni passati la stessa norma era stata oggetto di proroghe, che però sono attualmente ferme all’anno 2021.</w:t>
      </w:r>
    </w:p>
    <w:p w14:paraId="405161FB" w14:textId="106626D7" w:rsidR="00D47C91" w:rsidRPr="009B63C3" w:rsidRDefault="00D47C91" w:rsidP="00431D36">
      <w:pPr>
        <w:rPr>
          <w:rFonts w:cs="Times New Roman"/>
          <w:sz w:val="26"/>
          <w:szCs w:val="26"/>
        </w:rPr>
      </w:pPr>
    </w:p>
    <w:p w14:paraId="39ECB22A" w14:textId="487BC79B" w:rsidR="00D3160E" w:rsidRPr="009B63C3" w:rsidRDefault="00D3160E" w:rsidP="00431D36">
      <w:pPr>
        <w:rPr>
          <w:rFonts w:cs="Times New Roman"/>
          <w:sz w:val="26"/>
          <w:szCs w:val="26"/>
        </w:rPr>
      </w:pPr>
    </w:p>
    <w:p w14:paraId="4FA550B0" w14:textId="14153F70" w:rsidR="00D3160E" w:rsidRPr="009B63C3" w:rsidRDefault="00D3160E" w:rsidP="00431D36">
      <w:pPr>
        <w:rPr>
          <w:rFonts w:cs="Times New Roman"/>
          <w:sz w:val="26"/>
          <w:szCs w:val="26"/>
        </w:rPr>
      </w:pPr>
    </w:p>
    <w:p w14:paraId="0E2F7AD1" w14:textId="4E875035" w:rsidR="00D3160E" w:rsidRPr="009B63C3" w:rsidRDefault="00D3160E" w:rsidP="00431D36">
      <w:pPr>
        <w:rPr>
          <w:rFonts w:cs="Times New Roman"/>
          <w:sz w:val="26"/>
          <w:szCs w:val="26"/>
        </w:rPr>
      </w:pPr>
    </w:p>
    <w:p w14:paraId="7C3DD586" w14:textId="04C643D2" w:rsidR="00DF368E" w:rsidRPr="009B63C3" w:rsidRDefault="00D3160E" w:rsidP="00FA16ED">
      <w:pPr>
        <w:widowControl/>
        <w:suppressAutoHyphens w:val="0"/>
        <w:spacing w:after="160" w:line="259" w:lineRule="auto"/>
        <w:jc w:val="right"/>
        <w:rPr>
          <w:rFonts w:eastAsia="Calibri" w:cs="Times New Roman"/>
          <w:i/>
          <w:kern w:val="0"/>
          <w:sz w:val="26"/>
          <w:szCs w:val="26"/>
          <w:lang w:eastAsia="en-US" w:bidi="ar-SA"/>
        </w:rPr>
      </w:pPr>
      <w:r w:rsidRPr="009B63C3">
        <w:rPr>
          <w:rFonts w:eastAsiaTheme="minorHAnsi" w:cs="Times New Roman"/>
          <w:kern w:val="0"/>
          <w:sz w:val="26"/>
          <w:szCs w:val="26"/>
          <w:lang w:eastAsia="en-US" w:bidi="ar-SA"/>
        </w:rPr>
        <w:br w:type="page"/>
      </w:r>
      <w:bookmarkStart w:id="1" w:name="_Hlk88495297"/>
      <w:r w:rsidR="00DF368E" w:rsidRPr="009B63C3">
        <w:rPr>
          <w:rFonts w:eastAsia="Calibri" w:cs="Times New Roman"/>
          <w:i/>
          <w:kern w:val="0"/>
          <w:sz w:val="26"/>
          <w:szCs w:val="26"/>
          <w:lang w:eastAsia="en-US" w:bidi="ar-SA"/>
        </w:rPr>
        <w:lastRenderedPageBreak/>
        <w:t>Disposizioni sul turn-over per regioni ed enti locali</w:t>
      </w:r>
    </w:p>
    <w:p w14:paraId="6B3574E8" w14:textId="77777777" w:rsidR="00DF368E" w:rsidRPr="009B63C3" w:rsidRDefault="00DF368E" w:rsidP="00DF368E">
      <w:pPr>
        <w:widowControl/>
        <w:suppressAutoHyphens w:val="0"/>
        <w:spacing w:line="256" w:lineRule="auto"/>
        <w:jc w:val="center"/>
        <w:rPr>
          <w:rFonts w:eastAsia="Calibri" w:cs="Times New Roman"/>
          <w:b/>
          <w:bCs/>
          <w:i/>
          <w:kern w:val="0"/>
          <w:sz w:val="26"/>
          <w:szCs w:val="26"/>
          <w:lang w:eastAsia="en-US" w:bidi="ar-SA"/>
        </w:rPr>
      </w:pPr>
    </w:p>
    <w:p w14:paraId="4B3A6152" w14:textId="77777777" w:rsidR="00173C9E" w:rsidRPr="009B63C3" w:rsidRDefault="00173C9E" w:rsidP="00173C9E">
      <w:pPr>
        <w:widowControl/>
        <w:suppressAutoHyphens w:val="0"/>
        <w:autoSpaceDE w:val="0"/>
        <w:autoSpaceDN w:val="0"/>
        <w:adjustRightInd w:val="0"/>
        <w:rPr>
          <w:rFonts w:eastAsiaTheme="minorHAnsi" w:cs="Times New Roman"/>
          <w:b/>
          <w:bCs/>
          <w:color w:val="000000"/>
          <w:kern w:val="0"/>
          <w:sz w:val="26"/>
          <w:szCs w:val="26"/>
          <w:lang w:eastAsia="en-US" w:bidi="ar-SA"/>
        </w:rPr>
      </w:pPr>
    </w:p>
    <w:p w14:paraId="465343CB" w14:textId="709A35AE" w:rsidR="00173C9E" w:rsidRPr="009B63C3" w:rsidRDefault="00173C9E" w:rsidP="00173C9E">
      <w:pPr>
        <w:widowControl/>
        <w:suppressAutoHyphens w:val="0"/>
        <w:spacing w:line="256" w:lineRule="auto"/>
        <w:jc w:val="center"/>
        <w:rPr>
          <w:rFonts w:eastAsia="Calibri" w:cs="Times New Roman"/>
          <w:b/>
          <w:bCs/>
          <w:kern w:val="0"/>
          <w:sz w:val="26"/>
          <w:szCs w:val="26"/>
          <w:lang w:eastAsia="en-US" w:bidi="ar-SA"/>
        </w:rPr>
      </w:pPr>
      <w:r w:rsidRPr="009B63C3">
        <w:rPr>
          <w:rFonts w:cs="Times New Roman"/>
          <w:b/>
          <w:bCs/>
          <w:sz w:val="26"/>
          <w:szCs w:val="26"/>
        </w:rPr>
        <w:t xml:space="preserve">Articolo 1. </w:t>
      </w:r>
      <w:r w:rsidRPr="009B63C3">
        <w:rPr>
          <w:rFonts w:cs="Times New Roman"/>
          <w:b/>
          <w:bCs/>
          <w:sz w:val="26"/>
          <w:szCs w:val="26"/>
        </w:rPr>
        <w:br/>
        <w:t>(Proroga di termini in materia di pubbliche amministrazioni)</w:t>
      </w:r>
      <w:r w:rsidRPr="009B63C3">
        <w:rPr>
          <w:rFonts w:eastAsia="Calibri" w:cs="Times New Roman"/>
          <w:b/>
          <w:bCs/>
          <w:kern w:val="0"/>
          <w:sz w:val="26"/>
          <w:szCs w:val="26"/>
          <w:lang w:eastAsia="en-US" w:bidi="ar-SA"/>
        </w:rPr>
        <w:t xml:space="preserve"> </w:t>
      </w:r>
    </w:p>
    <w:p w14:paraId="035C9F83" w14:textId="77777777" w:rsidR="00173C9E" w:rsidRPr="009B63C3" w:rsidRDefault="00173C9E" w:rsidP="00173C9E">
      <w:pPr>
        <w:widowControl/>
        <w:suppressAutoHyphens w:val="0"/>
        <w:spacing w:line="256" w:lineRule="auto"/>
        <w:jc w:val="center"/>
        <w:rPr>
          <w:rFonts w:eastAsia="Calibri" w:cs="Times New Roman"/>
          <w:b/>
          <w:bCs/>
          <w:kern w:val="0"/>
          <w:sz w:val="26"/>
          <w:szCs w:val="26"/>
          <w:lang w:eastAsia="en-US" w:bidi="ar-SA"/>
        </w:rPr>
      </w:pPr>
    </w:p>
    <w:p w14:paraId="66AB400B" w14:textId="77777777" w:rsidR="001B1CF9" w:rsidRPr="009B63C3" w:rsidRDefault="001B1CF9" w:rsidP="001B1CF9">
      <w:pPr>
        <w:widowControl/>
        <w:suppressAutoHyphens w:val="0"/>
        <w:spacing w:line="256" w:lineRule="auto"/>
        <w:rPr>
          <w:rFonts w:eastAsia="Calibri" w:cs="Times New Roman"/>
          <w:b/>
          <w:bCs/>
          <w:iCs/>
          <w:kern w:val="0"/>
          <w:sz w:val="26"/>
          <w:szCs w:val="26"/>
          <w:lang w:eastAsia="en-US" w:bidi="ar-SA"/>
        </w:rPr>
      </w:pPr>
    </w:p>
    <w:p w14:paraId="6145434F" w14:textId="77777777" w:rsidR="001B1CF9" w:rsidRPr="009B63C3" w:rsidRDefault="001B1CF9" w:rsidP="001B1CF9">
      <w:pPr>
        <w:widowControl/>
        <w:suppressAutoHyphens w:val="0"/>
        <w:spacing w:line="256" w:lineRule="auto"/>
        <w:rPr>
          <w:rFonts w:eastAsia="Calibri" w:cs="Times New Roman"/>
          <w:b/>
          <w:bCs/>
          <w:iCs/>
          <w:kern w:val="0"/>
          <w:sz w:val="26"/>
          <w:szCs w:val="26"/>
          <w:lang w:eastAsia="en-US" w:bidi="ar-SA"/>
        </w:rPr>
      </w:pPr>
    </w:p>
    <w:p w14:paraId="13601320" w14:textId="7E065451" w:rsidR="00173C9E" w:rsidRPr="009B63C3" w:rsidRDefault="001B1CF9" w:rsidP="001B1CF9">
      <w:pPr>
        <w:widowControl/>
        <w:suppressAutoHyphens w:val="0"/>
        <w:spacing w:line="256" w:lineRule="auto"/>
        <w:rPr>
          <w:rFonts w:eastAsia="Calibri" w:cs="Times New Roman"/>
          <w:b/>
          <w:bCs/>
          <w:iCs/>
          <w:kern w:val="0"/>
          <w:sz w:val="26"/>
          <w:szCs w:val="26"/>
          <w:lang w:eastAsia="en-US" w:bidi="ar-SA"/>
        </w:rPr>
      </w:pPr>
      <w:r w:rsidRPr="009B63C3">
        <w:rPr>
          <w:rFonts w:eastAsia="Calibri" w:cs="Times New Roman"/>
          <w:b/>
          <w:bCs/>
          <w:iCs/>
          <w:kern w:val="0"/>
          <w:sz w:val="26"/>
          <w:szCs w:val="26"/>
          <w:lang w:eastAsia="en-US" w:bidi="ar-SA"/>
        </w:rPr>
        <w:t xml:space="preserve">Dopo il comma </w:t>
      </w:r>
      <w:r w:rsidR="00DF368E" w:rsidRPr="009B63C3">
        <w:rPr>
          <w:rFonts w:eastAsia="Calibri" w:cs="Times New Roman"/>
          <w:b/>
          <w:bCs/>
          <w:iCs/>
          <w:kern w:val="0"/>
          <w:sz w:val="26"/>
          <w:szCs w:val="26"/>
          <w:lang w:eastAsia="en-US" w:bidi="ar-SA"/>
        </w:rPr>
        <w:t>11</w:t>
      </w:r>
      <w:r w:rsidRPr="009B63C3">
        <w:rPr>
          <w:rFonts w:eastAsia="Calibri" w:cs="Times New Roman"/>
          <w:b/>
          <w:bCs/>
          <w:iCs/>
          <w:kern w:val="0"/>
          <w:sz w:val="26"/>
          <w:szCs w:val="26"/>
          <w:lang w:eastAsia="en-US" w:bidi="ar-SA"/>
        </w:rPr>
        <w:t xml:space="preserve"> è aggiunto il seguente: </w:t>
      </w:r>
    </w:p>
    <w:p w14:paraId="1E6DAFA6" w14:textId="77777777" w:rsidR="001B1CF9" w:rsidRPr="009B63C3" w:rsidRDefault="001B1CF9" w:rsidP="00173C9E">
      <w:pPr>
        <w:widowControl/>
        <w:autoSpaceDN w:val="0"/>
        <w:jc w:val="both"/>
        <w:textAlignment w:val="baseline"/>
        <w:rPr>
          <w:rFonts w:eastAsia="NSimSun" w:cs="Times New Roman"/>
          <w:b/>
          <w:bCs/>
          <w:kern w:val="3"/>
          <w:sz w:val="26"/>
          <w:szCs w:val="26"/>
          <w:lang w:eastAsia="zh-CN"/>
        </w:rPr>
      </w:pPr>
    </w:p>
    <w:p w14:paraId="67CA5E62" w14:textId="126B4094" w:rsidR="00173C9E" w:rsidRPr="009B63C3" w:rsidRDefault="00DF368E" w:rsidP="00173C9E">
      <w:pPr>
        <w:widowControl/>
        <w:autoSpaceDN w:val="0"/>
        <w:jc w:val="both"/>
        <w:textAlignment w:val="baseline"/>
        <w:rPr>
          <w:rFonts w:eastAsia="NSimSun" w:cs="Times New Roman"/>
          <w:b/>
          <w:bCs/>
          <w:kern w:val="3"/>
          <w:sz w:val="26"/>
          <w:szCs w:val="26"/>
          <w:lang w:eastAsia="zh-CN"/>
        </w:rPr>
      </w:pPr>
      <w:r w:rsidRPr="009B63C3">
        <w:rPr>
          <w:rFonts w:eastAsia="NSimSun" w:cs="Times New Roman"/>
          <w:b/>
          <w:bCs/>
          <w:kern w:val="3"/>
          <w:sz w:val="26"/>
          <w:szCs w:val="26"/>
          <w:lang w:eastAsia="zh-CN"/>
        </w:rPr>
        <w:t>11-bis. All'articolo 3, comma 5-sexies del decreto-legge 24 giugno 2014, n. 90, sostituire le parole “Per il triennio 2019-2021” con le parole “Per il quadriennio 2019-2022”</w:t>
      </w:r>
    </w:p>
    <w:p w14:paraId="5993B270" w14:textId="77777777" w:rsidR="00173C9E" w:rsidRPr="009B63C3" w:rsidRDefault="00173C9E" w:rsidP="00173C9E">
      <w:pPr>
        <w:widowControl/>
        <w:autoSpaceDN w:val="0"/>
        <w:jc w:val="both"/>
        <w:textAlignment w:val="baseline"/>
        <w:rPr>
          <w:rFonts w:eastAsia="NSimSun" w:cs="Times New Roman"/>
          <w:b/>
          <w:bCs/>
          <w:kern w:val="3"/>
          <w:sz w:val="26"/>
          <w:szCs w:val="26"/>
          <w:lang w:eastAsia="zh-CN"/>
        </w:rPr>
      </w:pPr>
    </w:p>
    <w:p w14:paraId="12314E8D" w14:textId="77777777" w:rsidR="00173C9E" w:rsidRPr="009B63C3" w:rsidRDefault="00173C9E" w:rsidP="00173C9E">
      <w:pPr>
        <w:widowControl/>
        <w:autoSpaceDN w:val="0"/>
        <w:jc w:val="both"/>
        <w:textAlignment w:val="baseline"/>
        <w:rPr>
          <w:rFonts w:eastAsiaTheme="minorHAnsi" w:cs="Times New Roman"/>
          <w:i/>
          <w:iCs/>
          <w:color w:val="000000"/>
          <w:kern w:val="0"/>
          <w:sz w:val="26"/>
          <w:szCs w:val="26"/>
          <w:lang w:eastAsia="en-US" w:bidi="ar-SA"/>
        </w:rPr>
      </w:pPr>
      <w:bookmarkStart w:id="2" w:name="_Hlk88495586"/>
      <w:bookmarkEnd w:id="1"/>
    </w:p>
    <w:p w14:paraId="089F453A" w14:textId="77777777" w:rsidR="00173C9E" w:rsidRPr="009B63C3" w:rsidRDefault="00173C9E" w:rsidP="00173C9E">
      <w:pPr>
        <w:widowControl/>
        <w:autoSpaceDN w:val="0"/>
        <w:jc w:val="both"/>
        <w:textAlignment w:val="baseline"/>
        <w:rPr>
          <w:rFonts w:eastAsiaTheme="minorHAnsi" w:cs="Times New Roman"/>
          <w:i/>
          <w:iCs/>
          <w:color w:val="000000"/>
          <w:kern w:val="0"/>
          <w:sz w:val="26"/>
          <w:szCs w:val="26"/>
          <w:lang w:eastAsia="en-US" w:bidi="ar-SA"/>
        </w:rPr>
      </w:pPr>
    </w:p>
    <w:p w14:paraId="612F78EB" w14:textId="77777777" w:rsidR="00173C9E" w:rsidRPr="009B63C3" w:rsidRDefault="00173C9E" w:rsidP="00173C9E">
      <w:pPr>
        <w:widowControl/>
        <w:autoSpaceDN w:val="0"/>
        <w:jc w:val="both"/>
        <w:textAlignment w:val="baseline"/>
        <w:rPr>
          <w:rFonts w:eastAsiaTheme="minorHAnsi" w:cs="Times New Roman"/>
          <w:i/>
          <w:iCs/>
          <w:color w:val="000000"/>
          <w:kern w:val="0"/>
          <w:sz w:val="26"/>
          <w:szCs w:val="26"/>
          <w:lang w:eastAsia="en-US" w:bidi="ar-SA"/>
        </w:rPr>
      </w:pPr>
    </w:p>
    <w:bookmarkEnd w:id="2"/>
    <w:p w14:paraId="39209295" w14:textId="77777777" w:rsidR="00DF368E" w:rsidRPr="009B63C3" w:rsidRDefault="00DF368E" w:rsidP="00DF368E">
      <w:pPr>
        <w:widowControl/>
        <w:suppressAutoHyphens w:val="0"/>
        <w:spacing w:line="256" w:lineRule="auto"/>
        <w:jc w:val="right"/>
        <w:rPr>
          <w:rFonts w:eastAsia="Calibri" w:cs="Times New Roman"/>
          <w:b/>
          <w:bCs/>
          <w:i/>
          <w:kern w:val="0"/>
          <w:sz w:val="26"/>
          <w:szCs w:val="26"/>
          <w:lang w:eastAsia="en-US" w:bidi="ar-SA"/>
        </w:rPr>
      </w:pPr>
    </w:p>
    <w:p w14:paraId="7DB883F7" w14:textId="77777777" w:rsidR="00DF368E" w:rsidRPr="009B63C3" w:rsidRDefault="00DF368E" w:rsidP="00DF368E">
      <w:pPr>
        <w:widowControl/>
        <w:suppressAutoHyphens w:val="0"/>
        <w:spacing w:line="256" w:lineRule="auto"/>
        <w:jc w:val="center"/>
        <w:rPr>
          <w:rFonts w:eastAsia="Calibri" w:cs="Times New Roman"/>
          <w:b/>
          <w:bCs/>
          <w:i/>
          <w:kern w:val="0"/>
          <w:sz w:val="26"/>
          <w:szCs w:val="26"/>
          <w:lang w:eastAsia="en-US" w:bidi="ar-SA"/>
        </w:rPr>
      </w:pPr>
    </w:p>
    <w:p w14:paraId="3020032C" w14:textId="77777777" w:rsidR="00DF368E" w:rsidRPr="009B63C3" w:rsidRDefault="00DF368E" w:rsidP="00DF368E">
      <w:pPr>
        <w:widowControl/>
        <w:autoSpaceDN w:val="0"/>
        <w:jc w:val="both"/>
        <w:textAlignment w:val="baseline"/>
        <w:rPr>
          <w:rFonts w:eastAsia="NSimSun" w:cs="Times New Roman"/>
          <w:b/>
          <w:bCs/>
          <w:kern w:val="3"/>
          <w:sz w:val="26"/>
          <w:szCs w:val="26"/>
          <w:lang w:eastAsia="zh-CN"/>
        </w:rPr>
      </w:pPr>
    </w:p>
    <w:p w14:paraId="572682E7" w14:textId="77777777" w:rsidR="00DF368E" w:rsidRPr="009B63C3" w:rsidRDefault="00DF368E" w:rsidP="00DF368E">
      <w:pPr>
        <w:widowControl/>
        <w:autoSpaceDN w:val="0"/>
        <w:jc w:val="both"/>
        <w:textAlignment w:val="baseline"/>
        <w:rPr>
          <w:rFonts w:eastAsiaTheme="minorHAnsi" w:cs="Times New Roman"/>
          <w:i/>
          <w:iCs/>
          <w:color w:val="000000"/>
          <w:kern w:val="0"/>
          <w:sz w:val="26"/>
          <w:szCs w:val="26"/>
          <w:lang w:eastAsia="en-US" w:bidi="ar-SA"/>
        </w:rPr>
      </w:pPr>
    </w:p>
    <w:p w14:paraId="7B78C28A" w14:textId="77777777" w:rsidR="00DF368E" w:rsidRPr="009B63C3" w:rsidRDefault="00DF368E" w:rsidP="00DF368E">
      <w:pPr>
        <w:widowControl/>
        <w:autoSpaceDN w:val="0"/>
        <w:jc w:val="both"/>
        <w:textAlignment w:val="baseline"/>
        <w:rPr>
          <w:rFonts w:eastAsiaTheme="minorHAnsi" w:cs="Times New Roman"/>
          <w:i/>
          <w:iCs/>
          <w:color w:val="000000"/>
          <w:kern w:val="0"/>
          <w:sz w:val="26"/>
          <w:szCs w:val="26"/>
          <w:lang w:eastAsia="en-US" w:bidi="ar-SA"/>
        </w:rPr>
      </w:pPr>
    </w:p>
    <w:p w14:paraId="62CC142D" w14:textId="77777777" w:rsidR="00DF368E" w:rsidRPr="009B63C3" w:rsidRDefault="00DF368E" w:rsidP="00DF368E">
      <w:pPr>
        <w:widowControl/>
        <w:suppressAutoHyphens w:val="0"/>
        <w:spacing w:after="160" w:line="256" w:lineRule="auto"/>
        <w:rPr>
          <w:rFonts w:eastAsiaTheme="minorHAnsi" w:cs="Times New Roman"/>
          <w:i/>
          <w:iCs/>
          <w:color w:val="000000"/>
          <w:kern w:val="0"/>
          <w:sz w:val="26"/>
          <w:szCs w:val="26"/>
          <w:lang w:eastAsia="en-US" w:bidi="ar-SA"/>
        </w:rPr>
      </w:pPr>
      <w:r w:rsidRPr="009B63C3">
        <w:rPr>
          <w:rFonts w:eastAsiaTheme="minorHAnsi" w:cs="Times New Roman"/>
          <w:i/>
          <w:iCs/>
          <w:color w:val="000000"/>
          <w:kern w:val="0"/>
          <w:sz w:val="26"/>
          <w:szCs w:val="26"/>
          <w:lang w:eastAsia="en-US" w:bidi="ar-SA"/>
        </w:rPr>
        <w:t>MOTIVAZIONE</w:t>
      </w:r>
    </w:p>
    <w:p w14:paraId="4A2EFFDA" w14:textId="77777777" w:rsidR="00DF368E" w:rsidRPr="009B63C3" w:rsidRDefault="00DF368E" w:rsidP="00DF368E">
      <w:pPr>
        <w:widowControl/>
        <w:suppressAutoHyphens w:val="0"/>
        <w:spacing w:after="160" w:line="256" w:lineRule="auto"/>
        <w:jc w:val="both"/>
        <w:rPr>
          <w:rFonts w:eastAsiaTheme="minorHAnsi" w:cs="Times New Roman"/>
          <w:i/>
          <w:iCs/>
          <w:kern w:val="0"/>
          <w:sz w:val="26"/>
          <w:szCs w:val="26"/>
          <w:lang w:eastAsia="en-US" w:bidi="ar-SA"/>
        </w:rPr>
      </w:pPr>
      <w:r w:rsidRPr="009B63C3">
        <w:rPr>
          <w:rFonts w:eastAsiaTheme="minorHAnsi" w:cs="Times New Roman"/>
          <w:i/>
          <w:iCs/>
          <w:kern w:val="0"/>
          <w:sz w:val="26"/>
          <w:szCs w:val="26"/>
          <w:lang w:eastAsia="en-US" w:bidi="ar-SA"/>
        </w:rPr>
        <w:t xml:space="preserve">L'articolo 14-bis del Dl 4/2019, introducendo il comma 5-sexies all'articolo 3 del Dl 90/2014, ha previsto che per il triennio 2019-2021, nel rispetto della programmazione del fabbisogno e di quella finanziaria e contabile, le Regioni e gli enti locali possono computare, ai fini della determinazione delle capacità </w:t>
      </w:r>
      <w:proofErr w:type="spellStart"/>
      <w:r w:rsidRPr="009B63C3">
        <w:rPr>
          <w:rFonts w:eastAsiaTheme="minorHAnsi" w:cs="Times New Roman"/>
          <w:i/>
          <w:iCs/>
          <w:kern w:val="0"/>
          <w:sz w:val="26"/>
          <w:szCs w:val="26"/>
          <w:lang w:eastAsia="en-US" w:bidi="ar-SA"/>
        </w:rPr>
        <w:t>assunzionali</w:t>
      </w:r>
      <w:proofErr w:type="spellEnd"/>
      <w:r w:rsidRPr="009B63C3">
        <w:rPr>
          <w:rFonts w:eastAsiaTheme="minorHAnsi" w:cs="Times New Roman"/>
          <w:i/>
          <w:iCs/>
          <w:kern w:val="0"/>
          <w:sz w:val="26"/>
          <w:szCs w:val="26"/>
          <w:lang w:eastAsia="en-US" w:bidi="ar-SA"/>
        </w:rPr>
        <w:t xml:space="preserve"> per ciascuna annualità, sia le cessazioni dal servizio del personale di ruolo verificatesi nell'anno precedente, sia quelle programmate nella medesima annualità, fermo restando che le assunzioni possono essere effettuate soltanto a seguito delle cessazioni che producono il relativo turn over. Con il presente emendamento si estende questa possibilità all’anno 2022, in modo da consentire agli enti territoriali che sono obbligati a ricorrere al turn-over di sostituire più rapidamente il personale cessato.</w:t>
      </w:r>
    </w:p>
    <w:p w14:paraId="081A318E" w14:textId="77777777" w:rsidR="00DF368E" w:rsidRPr="009B63C3" w:rsidRDefault="00DF368E" w:rsidP="00DF368E">
      <w:pPr>
        <w:widowControl/>
        <w:suppressAutoHyphens w:val="0"/>
        <w:rPr>
          <w:rFonts w:eastAsiaTheme="minorHAnsi" w:cs="Times New Roman"/>
          <w:kern w:val="0"/>
          <w:sz w:val="26"/>
          <w:szCs w:val="26"/>
          <w:lang w:eastAsia="en-US" w:bidi="ar-SA"/>
        </w:rPr>
      </w:pPr>
    </w:p>
    <w:p w14:paraId="381CE882" w14:textId="670A4221" w:rsidR="00173C9E" w:rsidRPr="009B63C3" w:rsidRDefault="00173C9E">
      <w:pPr>
        <w:widowControl/>
        <w:suppressAutoHyphens w:val="0"/>
        <w:spacing w:after="160" w:line="259" w:lineRule="auto"/>
        <w:rPr>
          <w:rFonts w:cs="Times New Roman"/>
          <w:sz w:val="26"/>
          <w:szCs w:val="26"/>
        </w:rPr>
      </w:pPr>
      <w:r w:rsidRPr="009B63C3">
        <w:rPr>
          <w:rFonts w:cs="Times New Roman"/>
          <w:sz w:val="26"/>
          <w:szCs w:val="26"/>
        </w:rPr>
        <w:br w:type="page"/>
      </w:r>
    </w:p>
    <w:p w14:paraId="2CD5A3CD" w14:textId="77777777" w:rsidR="001B1CF9" w:rsidRPr="001B1CF9" w:rsidRDefault="001B1CF9" w:rsidP="001B1CF9">
      <w:pPr>
        <w:widowControl/>
        <w:suppressAutoHyphens w:val="0"/>
        <w:spacing w:after="160" w:line="259" w:lineRule="auto"/>
        <w:jc w:val="right"/>
        <w:rPr>
          <w:rFonts w:ascii="Book Antiqua" w:eastAsiaTheme="minorHAnsi" w:hAnsi="Book Antiqua" w:cstheme="minorBidi"/>
          <w:i/>
          <w:iCs/>
          <w:kern w:val="0"/>
          <w:lang w:eastAsia="en-US" w:bidi="ar-SA"/>
        </w:rPr>
      </w:pPr>
      <w:r w:rsidRPr="001B1CF9">
        <w:rPr>
          <w:rFonts w:ascii="Book Antiqua" w:eastAsiaTheme="minorHAnsi" w:hAnsi="Book Antiqua" w:cstheme="minorBidi"/>
          <w:i/>
          <w:iCs/>
          <w:kern w:val="0"/>
          <w:lang w:eastAsia="en-US" w:bidi="ar-SA"/>
        </w:rPr>
        <w:lastRenderedPageBreak/>
        <w:t>fondo province in crisi finanziaria</w:t>
      </w:r>
    </w:p>
    <w:p w14:paraId="30232483" w14:textId="77777777" w:rsidR="001B1CF9" w:rsidRPr="001726AC" w:rsidRDefault="001B1CF9" w:rsidP="001B1CF9">
      <w:pPr>
        <w:rPr>
          <w:rFonts w:cs="Times New Roman"/>
          <w:b/>
          <w:bCs/>
          <w:sz w:val="26"/>
          <w:szCs w:val="26"/>
        </w:rPr>
      </w:pPr>
    </w:p>
    <w:p w14:paraId="4F3C7C65" w14:textId="77777777" w:rsidR="001B1CF9" w:rsidRPr="001726AC" w:rsidRDefault="001B1CF9" w:rsidP="001B1CF9">
      <w:pPr>
        <w:jc w:val="center"/>
        <w:rPr>
          <w:rFonts w:cs="Times New Roman"/>
          <w:b/>
          <w:bCs/>
          <w:sz w:val="26"/>
          <w:szCs w:val="26"/>
        </w:rPr>
      </w:pPr>
      <w:r w:rsidRPr="001726AC">
        <w:rPr>
          <w:rFonts w:cs="Times New Roman"/>
          <w:b/>
          <w:bCs/>
          <w:sz w:val="26"/>
          <w:szCs w:val="26"/>
        </w:rPr>
        <w:t xml:space="preserve">Articolo 3. </w:t>
      </w:r>
      <w:r w:rsidRPr="001726AC">
        <w:rPr>
          <w:rFonts w:cs="Times New Roman"/>
          <w:b/>
          <w:bCs/>
          <w:sz w:val="26"/>
          <w:szCs w:val="26"/>
        </w:rPr>
        <w:br/>
        <w:t>(Proroga di termini in materia economica e finanziaria)</w:t>
      </w:r>
    </w:p>
    <w:p w14:paraId="5E7D217B" w14:textId="77777777" w:rsidR="001B1CF9" w:rsidRPr="001726AC" w:rsidRDefault="001B1CF9" w:rsidP="001B1CF9">
      <w:pPr>
        <w:jc w:val="center"/>
        <w:rPr>
          <w:rFonts w:cs="Times New Roman"/>
          <w:b/>
          <w:bCs/>
          <w:sz w:val="26"/>
          <w:szCs w:val="26"/>
        </w:rPr>
      </w:pPr>
    </w:p>
    <w:p w14:paraId="017A5004" w14:textId="77777777" w:rsidR="001B1CF9" w:rsidRPr="001726AC" w:rsidRDefault="001B1CF9" w:rsidP="001B1CF9">
      <w:pPr>
        <w:jc w:val="center"/>
        <w:rPr>
          <w:rFonts w:cs="Times New Roman"/>
          <w:b/>
          <w:bCs/>
          <w:sz w:val="26"/>
          <w:szCs w:val="26"/>
        </w:rPr>
      </w:pPr>
    </w:p>
    <w:p w14:paraId="35BA9C06" w14:textId="3D27AF10" w:rsidR="001B1CF9" w:rsidRPr="001726AC" w:rsidRDefault="001B1CF9" w:rsidP="001B1CF9">
      <w:pPr>
        <w:widowControl/>
        <w:suppressAutoHyphens w:val="0"/>
        <w:spacing w:after="160" w:line="259" w:lineRule="auto"/>
        <w:jc w:val="both"/>
        <w:rPr>
          <w:rFonts w:eastAsiaTheme="minorHAnsi" w:cs="Times New Roman"/>
          <w:b/>
          <w:bCs/>
          <w:kern w:val="0"/>
          <w:sz w:val="26"/>
          <w:szCs w:val="26"/>
          <w:lang w:eastAsia="en-US" w:bidi="ar-SA"/>
        </w:rPr>
      </w:pPr>
      <w:r w:rsidRPr="001726AC">
        <w:rPr>
          <w:rFonts w:eastAsiaTheme="minorHAnsi" w:cs="Times New Roman"/>
          <w:b/>
          <w:bCs/>
          <w:kern w:val="0"/>
          <w:sz w:val="26"/>
          <w:szCs w:val="26"/>
          <w:lang w:eastAsia="en-US" w:bidi="ar-SA"/>
        </w:rPr>
        <w:t xml:space="preserve">Dopo il comma 6 è aggiunto il seguente: </w:t>
      </w:r>
    </w:p>
    <w:p w14:paraId="5300522B" w14:textId="59673B61" w:rsidR="001B1CF9" w:rsidRPr="001726AC" w:rsidRDefault="001B1CF9" w:rsidP="001B1CF9">
      <w:pPr>
        <w:widowControl/>
        <w:suppressAutoHyphens w:val="0"/>
        <w:spacing w:after="160" w:line="259" w:lineRule="auto"/>
        <w:jc w:val="both"/>
        <w:rPr>
          <w:rFonts w:eastAsiaTheme="minorHAnsi" w:cs="Times New Roman"/>
          <w:b/>
          <w:bCs/>
          <w:strike/>
          <w:kern w:val="0"/>
          <w:sz w:val="26"/>
          <w:szCs w:val="26"/>
          <w:lang w:eastAsia="en-US" w:bidi="ar-SA"/>
        </w:rPr>
      </w:pPr>
      <w:r w:rsidRPr="001726AC">
        <w:rPr>
          <w:rFonts w:eastAsiaTheme="minorHAnsi" w:cs="Times New Roman"/>
          <w:b/>
          <w:bCs/>
          <w:kern w:val="0"/>
          <w:sz w:val="26"/>
          <w:szCs w:val="26"/>
          <w:lang w:eastAsia="en-US" w:bidi="ar-SA"/>
        </w:rPr>
        <w:t>6-bis. Alle province che, alla data del 31.12.2021, hanno deliberato la procedura di riequilibrio finanziario pluriennale, hanno presentato il piano di riequilibrio finanziario pluriennale o ne hanno conseguito l'approvazione, o risultano in dissesto, è attribuito, per ciascuno degli anni del triennio 2022-2024, un contributo nell'importo complessivo di 15 milioni di euro annui. Il contributo di cui al periodo precedente è ripartito, con decreto del Ministero dell'interno, di concerto con il Ministero dell'economia e delle finanze, secondo criteri e importi da definire, su proposta dell'UPI, previa intesa in sede di Conferenza Stato-città ed autonomie locali, da conseguire entro il 31 gennaio 2022. Qualora l'intesa non sia raggiunta, ovvero non sia stata presentata alcuna proposta, il decreto è comunque adottato, entro il 10 febbraio 2022, ripartendo il contributo stesso  in proporzione alla massa passiva residua da ripianare.</w:t>
      </w:r>
    </w:p>
    <w:p w14:paraId="4E5D1A1B" w14:textId="77777777" w:rsidR="001B1CF9" w:rsidRPr="001726AC" w:rsidRDefault="001B1CF9" w:rsidP="001B1CF9">
      <w:pPr>
        <w:widowControl/>
        <w:suppressAutoHyphens w:val="0"/>
        <w:spacing w:after="160" w:line="259" w:lineRule="auto"/>
        <w:rPr>
          <w:rFonts w:eastAsiaTheme="minorHAnsi" w:cs="Times New Roman"/>
          <w:kern w:val="0"/>
          <w:sz w:val="26"/>
          <w:szCs w:val="26"/>
          <w:lang w:eastAsia="en-US" w:bidi="ar-SA"/>
        </w:rPr>
      </w:pPr>
    </w:p>
    <w:p w14:paraId="64BF5985" w14:textId="77777777" w:rsidR="001B1CF9" w:rsidRPr="001726AC" w:rsidRDefault="001B1CF9" w:rsidP="001B1CF9">
      <w:pPr>
        <w:widowControl/>
        <w:suppressAutoHyphens w:val="0"/>
        <w:spacing w:after="160" w:line="259" w:lineRule="auto"/>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 xml:space="preserve">MOTIVAZIONE </w:t>
      </w:r>
    </w:p>
    <w:p w14:paraId="1BDA29BF" w14:textId="77777777" w:rsidR="001B1CF9" w:rsidRPr="001726AC" w:rsidRDefault="001B1CF9" w:rsidP="001B1CF9">
      <w:pPr>
        <w:widowControl/>
        <w:suppressAutoHyphens w:val="0"/>
        <w:jc w:val="both"/>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La norma, che ricalca la disciplina di cui all’articolo 1, comma 843, della legge di bilancio 2018 n. 205/2017, è finalizzata a sostenere i processi di risanamento delle Province in stato di dissesto o in piano di riequilibrio.</w:t>
      </w:r>
    </w:p>
    <w:p w14:paraId="1B80437B" w14:textId="77777777" w:rsidR="001B1CF9" w:rsidRPr="001726AC" w:rsidRDefault="001B1CF9" w:rsidP="001B1CF9">
      <w:pPr>
        <w:widowControl/>
        <w:suppressAutoHyphens w:val="0"/>
        <w:jc w:val="both"/>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Come è noto, in larga parte questi derivano dagli ingenti tagli operati sulle Province in particolare dal dl. 66/14 e dall’articolo 1, comma 418 della legge n. 190/2014, e dunque hanno necessità di garantire il mantenimento degli equilibri e contestualmente l’erogazione delle funzioni fondamentali, senza ulteriori spazi di efficientamento della spesa. Per consentire l’ordinato ripristino della funzionalità di questi enti, è necessario che vi sia un supporto finanziario, come già venne disciplinato nel triennio 2018/2020.</w:t>
      </w:r>
    </w:p>
    <w:p w14:paraId="22A976EA" w14:textId="77777777" w:rsidR="001B1CF9" w:rsidRPr="001726AC" w:rsidRDefault="001B1CF9" w:rsidP="001B1CF9">
      <w:pPr>
        <w:widowControl/>
        <w:suppressAutoHyphens w:val="0"/>
        <w:jc w:val="both"/>
        <w:rPr>
          <w:rFonts w:eastAsiaTheme="minorHAnsi" w:cs="Times New Roman"/>
          <w:i/>
          <w:iCs/>
          <w:kern w:val="0"/>
          <w:sz w:val="26"/>
          <w:szCs w:val="26"/>
          <w:lang w:eastAsia="en-US" w:bidi="ar-SA"/>
        </w:rPr>
      </w:pPr>
      <w:r w:rsidRPr="001726AC">
        <w:rPr>
          <w:rFonts w:eastAsiaTheme="minorHAnsi" w:cs="Times New Roman"/>
          <w:i/>
          <w:iCs/>
          <w:kern w:val="0"/>
          <w:sz w:val="26"/>
          <w:szCs w:val="26"/>
          <w:lang w:eastAsia="en-US" w:bidi="ar-SA"/>
        </w:rPr>
        <w:t xml:space="preserve">Ovviamente il riparto si ritiene dovrà tener conto non solo della massa passiva residua ma anche dell’arco temporale residuo dei piani di rientro. </w:t>
      </w:r>
    </w:p>
    <w:p w14:paraId="0F97D7D0" w14:textId="77777777" w:rsidR="00D3160E" w:rsidRPr="001726AC" w:rsidRDefault="00D3160E" w:rsidP="00431D36">
      <w:pPr>
        <w:rPr>
          <w:rFonts w:cs="Times New Roman"/>
          <w:sz w:val="26"/>
          <w:szCs w:val="26"/>
        </w:rPr>
      </w:pPr>
    </w:p>
    <w:p w14:paraId="77D22B0D" w14:textId="254C4DFC" w:rsidR="001726AC" w:rsidRPr="001726AC" w:rsidRDefault="001726AC" w:rsidP="00FA16ED">
      <w:pPr>
        <w:widowControl/>
        <w:suppressAutoHyphens w:val="0"/>
        <w:spacing w:after="160" w:line="259" w:lineRule="auto"/>
        <w:rPr>
          <w:rFonts w:cs="Times New Roman"/>
          <w:sz w:val="26"/>
          <w:szCs w:val="26"/>
        </w:rPr>
      </w:pPr>
    </w:p>
    <w:sectPr w:rsidR="001726AC" w:rsidRPr="001726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36"/>
    <w:rsid w:val="00085AF5"/>
    <w:rsid w:val="001726AC"/>
    <w:rsid w:val="00173C9E"/>
    <w:rsid w:val="001B1CF9"/>
    <w:rsid w:val="00431D36"/>
    <w:rsid w:val="009B63C3"/>
    <w:rsid w:val="00D3160E"/>
    <w:rsid w:val="00D47C91"/>
    <w:rsid w:val="00DF368E"/>
    <w:rsid w:val="00ED4519"/>
    <w:rsid w:val="00FA1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EE11540"/>
  <w15:chartTrackingRefBased/>
  <w15:docId w15:val="{ACC4CFF1-D428-4A6E-816C-D136083D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1D36"/>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31D36"/>
    <w:pPr>
      <w:widowControl/>
      <w:suppressAutoHyphens w:val="0"/>
      <w:spacing w:before="100" w:beforeAutospacing="1" w:after="100" w:afterAutospacing="1"/>
    </w:pPr>
    <w:rPr>
      <w:rFonts w:eastAsia="Times New Roman" w:cs="Times New Roman"/>
      <w:kern w:val="0"/>
      <w:lang w:eastAsia="it-IT" w:bidi="ar-SA"/>
    </w:rPr>
  </w:style>
  <w:style w:type="character" w:styleId="Collegamentoipertestuale">
    <w:name w:val="Hyperlink"/>
    <w:basedOn w:val="Carpredefinitoparagrafo"/>
    <w:uiPriority w:val="99"/>
    <w:semiHidden/>
    <w:unhideWhenUsed/>
    <w:rsid w:val="00431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883">
      <w:bodyDiv w:val="1"/>
      <w:marLeft w:val="0"/>
      <w:marRight w:val="0"/>
      <w:marTop w:val="0"/>
      <w:marBottom w:val="0"/>
      <w:divBdr>
        <w:top w:val="none" w:sz="0" w:space="0" w:color="auto"/>
        <w:left w:val="none" w:sz="0" w:space="0" w:color="auto"/>
        <w:bottom w:val="none" w:sz="0" w:space="0" w:color="auto"/>
        <w:right w:val="none" w:sz="0" w:space="0" w:color="auto"/>
      </w:divBdr>
    </w:div>
    <w:div w:id="1899969835">
      <w:bodyDiv w:val="1"/>
      <w:marLeft w:val="0"/>
      <w:marRight w:val="0"/>
      <w:marTop w:val="0"/>
      <w:marBottom w:val="0"/>
      <w:divBdr>
        <w:top w:val="none" w:sz="0" w:space="0" w:color="auto"/>
        <w:left w:val="none" w:sz="0" w:space="0" w:color="auto"/>
        <w:bottom w:val="none" w:sz="0" w:space="0" w:color="auto"/>
        <w:right w:val="none" w:sz="0" w:space="0" w:color="auto"/>
      </w:divBdr>
      <w:divsChild>
        <w:div w:id="1235385716">
          <w:marLeft w:val="0"/>
          <w:marRight w:val="0"/>
          <w:marTop w:val="0"/>
          <w:marBottom w:val="0"/>
          <w:divBdr>
            <w:top w:val="none" w:sz="0" w:space="0" w:color="auto"/>
            <w:left w:val="none" w:sz="0" w:space="0" w:color="auto"/>
            <w:bottom w:val="none" w:sz="0" w:space="0" w:color="auto"/>
            <w:right w:val="none" w:sz="0" w:space="0" w:color="auto"/>
          </w:divBdr>
          <w:divsChild>
            <w:div w:id="1386828475">
              <w:marLeft w:val="0"/>
              <w:marRight w:val="45"/>
              <w:marTop w:val="0"/>
              <w:marBottom w:val="0"/>
              <w:divBdr>
                <w:top w:val="single" w:sz="6" w:space="5" w:color="21499F"/>
                <w:left w:val="single" w:sz="6" w:space="5" w:color="21499F"/>
                <w:bottom w:val="single" w:sz="6" w:space="5" w:color="21499F"/>
                <w:right w:val="single" w:sz="6" w:space="5" w:color="21499F"/>
              </w:divBdr>
            </w:div>
            <w:div w:id="1804038931">
              <w:marLeft w:val="0"/>
              <w:marRight w:val="45"/>
              <w:marTop w:val="0"/>
              <w:marBottom w:val="0"/>
              <w:divBdr>
                <w:top w:val="single" w:sz="6" w:space="5" w:color="E6E6E6"/>
                <w:left w:val="single" w:sz="6" w:space="5" w:color="E6E6E6"/>
                <w:bottom w:val="none" w:sz="0" w:space="0" w:color="auto"/>
                <w:right w:val="single" w:sz="6" w:space="5" w:color="E6E6E6"/>
              </w:divBdr>
            </w:div>
            <w:div w:id="1494831422">
              <w:marLeft w:val="0"/>
              <w:marRight w:val="45"/>
              <w:marTop w:val="0"/>
              <w:marBottom w:val="0"/>
              <w:divBdr>
                <w:top w:val="single" w:sz="6" w:space="5" w:color="E6E6E6"/>
                <w:left w:val="single" w:sz="6" w:space="5" w:color="E6E6E6"/>
                <w:bottom w:val="none" w:sz="0" w:space="0" w:color="auto"/>
                <w:right w:val="single" w:sz="6" w:space="5" w:color="E6E6E6"/>
              </w:divBdr>
            </w:div>
            <w:div w:id="1432121223">
              <w:marLeft w:val="0"/>
              <w:marRight w:val="45"/>
              <w:marTop w:val="0"/>
              <w:marBottom w:val="0"/>
              <w:divBdr>
                <w:top w:val="single" w:sz="6" w:space="5" w:color="E6E6E6"/>
                <w:left w:val="single" w:sz="6" w:space="5" w:color="E6E6E6"/>
                <w:bottom w:val="none" w:sz="0" w:space="0" w:color="auto"/>
                <w:right w:val="single" w:sz="6" w:space="5" w:color="E6E6E6"/>
              </w:divBdr>
            </w:div>
            <w:div w:id="1147014721">
              <w:marLeft w:val="0"/>
              <w:marRight w:val="45"/>
              <w:marTop w:val="0"/>
              <w:marBottom w:val="0"/>
              <w:divBdr>
                <w:top w:val="single" w:sz="6" w:space="5" w:color="E6E6E6"/>
                <w:left w:val="single" w:sz="6" w:space="5" w:color="E6E6E6"/>
                <w:bottom w:val="none" w:sz="0" w:space="0" w:color="auto"/>
                <w:right w:val="single" w:sz="6" w:space="5" w:color="E6E6E6"/>
              </w:divBdr>
            </w:div>
            <w:div w:id="1368486191">
              <w:marLeft w:val="0"/>
              <w:marRight w:val="45"/>
              <w:marTop w:val="0"/>
              <w:marBottom w:val="0"/>
              <w:divBdr>
                <w:top w:val="single" w:sz="6" w:space="5" w:color="E6E6E6"/>
                <w:left w:val="single" w:sz="6" w:space="5" w:color="E6E6E6"/>
                <w:bottom w:val="none" w:sz="0" w:space="0" w:color="auto"/>
                <w:right w:val="single" w:sz="6" w:space="5" w:color="E6E6E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1461</Words>
  <Characters>8332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Luisa Gottardi</cp:lastModifiedBy>
  <cp:revision>2</cp:revision>
  <cp:lastPrinted>2022-01-17T09:49:00Z</cp:lastPrinted>
  <dcterms:created xsi:type="dcterms:W3CDTF">2022-01-17T10:10:00Z</dcterms:created>
  <dcterms:modified xsi:type="dcterms:W3CDTF">2022-01-17T10:10:00Z</dcterms:modified>
</cp:coreProperties>
</file>