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5AE9" w14:textId="77777777" w:rsidR="00546B83" w:rsidRDefault="00547758" w:rsidP="005C6360">
      <w:pPr>
        <w:suppressAutoHyphens w:val="0"/>
        <w:spacing w:before="100" w:after="200" w:line="276" w:lineRule="auto"/>
        <w:jc w:val="center"/>
        <w:rPr>
          <w:b/>
          <w:bCs/>
          <w:i/>
          <w:iCs/>
        </w:rPr>
      </w:pPr>
      <w:r>
        <w:rPr>
          <w:noProof/>
        </w:rPr>
        <w:drawing>
          <wp:inline distT="0" distB="0" distL="0" distR="0" wp14:anchorId="31C71A45" wp14:editId="3E479964">
            <wp:extent cx="885825" cy="669925"/>
            <wp:effectExtent l="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10;&#10;Descrizione generata automaticamente"/>
                    <pic:cNvPicPr>
                      <a:picLocks noChangeAspect="1" noChangeArrowheads="1"/>
                    </pic:cNvPicPr>
                  </pic:nvPicPr>
                  <pic:blipFill>
                    <a:blip r:embed="rId8"/>
                    <a:stretch>
                      <a:fillRect/>
                    </a:stretch>
                  </pic:blipFill>
                  <pic:spPr bwMode="auto">
                    <a:xfrm>
                      <a:off x="0" y="0"/>
                      <a:ext cx="885825" cy="669925"/>
                    </a:xfrm>
                    <a:prstGeom prst="rect">
                      <a:avLst/>
                    </a:prstGeom>
                  </pic:spPr>
                </pic:pic>
              </a:graphicData>
            </a:graphic>
          </wp:inline>
        </w:drawing>
      </w:r>
    </w:p>
    <w:p w14:paraId="5E459521" w14:textId="77777777" w:rsidR="00546B83" w:rsidRDefault="00546B83">
      <w:pPr>
        <w:suppressAutoHyphens w:val="0"/>
        <w:spacing w:before="100" w:after="200" w:line="276" w:lineRule="auto"/>
        <w:rPr>
          <w:b/>
          <w:bCs/>
          <w:i/>
          <w:iCs/>
        </w:rPr>
      </w:pPr>
    </w:p>
    <w:p w14:paraId="2E76EFD3" w14:textId="77777777" w:rsidR="00546B83" w:rsidRDefault="00546B83">
      <w:pPr>
        <w:suppressAutoHyphens w:val="0"/>
        <w:spacing w:before="100" w:after="200" w:line="276" w:lineRule="auto"/>
        <w:rPr>
          <w:b/>
          <w:bCs/>
          <w:i/>
          <w:iCs/>
        </w:rPr>
      </w:pPr>
    </w:p>
    <w:p w14:paraId="23DB4D84" w14:textId="77777777" w:rsidR="00546B83" w:rsidRDefault="00546B83">
      <w:pPr>
        <w:suppressAutoHyphens w:val="0"/>
        <w:spacing w:before="100" w:after="200" w:line="276" w:lineRule="auto"/>
        <w:rPr>
          <w:b/>
          <w:bCs/>
          <w:i/>
          <w:iCs/>
        </w:rPr>
      </w:pPr>
    </w:p>
    <w:p w14:paraId="2F398EF4" w14:textId="77777777" w:rsidR="00546B83" w:rsidRDefault="00546B83">
      <w:pPr>
        <w:suppressAutoHyphens w:val="0"/>
        <w:spacing w:before="100" w:after="200" w:line="276" w:lineRule="auto"/>
        <w:rPr>
          <w:b/>
          <w:bCs/>
          <w:i/>
          <w:iCs/>
        </w:rPr>
      </w:pPr>
    </w:p>
    <w:p w14:paraId="4E2E03DA" w14:textId="77777777" w:rsidR="00546B83" w:rsidRDefault="00546B83">
      <w:pPr>
        <w:suppressAutoHyphens w:val="0"/>
        <w:spacing w:before="100" w:after="200" w:line="276" w:lineRule="auto"/>
        <w:rPr>
          <w:b/>
          <w:bCs/>
          <w:i/>
          <w:iCs/>
        </w:rPr>
      </w:pPr>
    </w:p>
    <w:p w14:paraId="734557A9" w14:textId="77777777" w:rsidR="00336D92" w:rsidRDefault="00336D92" w:rsidP="00336D92">
      <w:pPr>
        <w:suppressAutoHyphens w:val="0"/>
        <w:spacing w:before="100" w:after="200" w:line="276" w:lineRule="auto"/>
        <w:jc w:val="center"/>
        <w:rPr>
          <w:rFonts w:ascii="Calibri" w:hAnsi="Calibri" w:cs="Calibri"/>
          <w:b/>
          <w:bCs/>
          <w:i/>
          <w:iCs/>
          <w:sz w:val="28"/>
          <w:szCs w:val="28"/>
        </w:rPr>
      </w:pPr>
      <w:r w:rsidRPr="00336D92">
        <w:rPr>
          <w:rFonts w:ascii="Calibri" w:hAnsi="Calibri" w:cs="Calibri"/>
          <w:b/>
          <w:bCs/>
          <w:i/>
          <w:iCs/>
          <w:sz w:val="28"/>
          <w:szCs w:val="28"/>
        </w:rPr>
        <w:t xml:space="preserve">AUDIZIONE COMMISSIONE AMBIENTE </w:t>
      </w:r>
    </w:p>
    <w:p w14:paraId="56569A89" w14:textId="2B5B93E4" w:rsidR="00546B83" w:rsidRPr="00336D92" w:rsidRDefault="00336D92" w:rsidP="00336D92">
      <w:pPr>
        <w:suppressAutoHyphens w:val="0"/>
        <w:spacing w:before="100" w:after="200" w:line="276" w:lineRule="auto"/>
        <w:jc w:val="center"/>
        <w:rPr>
          <w:rFonts w:ascii="Calibri" w:hAnsi="Calibri" w:cs="Calibri"/>
          <w:b/>
          <w:bCs/>
          <w:i/>
          <w:iCs/>
          <w:sz w:val="28"/>
          <w:szCs w:val="28"/>
        </w:rPr>
      </w:pPr>
      <w:r w:rsidRPr="00336D92">
        <w:rPr>
          <w:rFonts w:ascii="Calibri" w:hAnsi="Calibri" w:cs="Calibri"/>
          <w:b/>
          <w:bCs/>
          <w:i/>
          <w:iCs/>
          <w:sz w:val="28"/>
          <w:szCs w:val="28"/>
        </w:rPr>
        <w:t>CAMERA DEI DEPUTATI</w:t>
      </w:r>
    </w:p>
    <w:p w14:paraId="53735987" w14:textId="77777777" w:rsidR="00546B83" w:rsidRDefault="00546B83">
      <w:pPr>
        <w:suppressAutoHyphens w:val="0"/>
        <w:spacing w:before="100" w:after="200" w:line="276" w:lineRule="auto"/>
        <w:rPr>
          <w:b/>
          <w:bCs/>
          <w:i/>
          <w:iCs/>
        </w:rPr>
      </w:pPr>
    </w:p>
    <w:p w14:paraId="753A0BB8" w14:textId="77777777" w:rsidR="00546B83" w:rsidRDefault="00546B83">
      <w:pPr>
        <w:suppressAutoHyphens w:val="0"/>
        <w:spacing w:before="100" w:after="200" w:line="276" w:lineRule="auto"/>
        <w:jc w:val="center"/>
        <w:rPr>
          <w:rFonts w:ascii="Calibri" w:hAnsi="Calibri" w:cs="Calibri"/>
          <w:b/>
          <w:bCs/>
          <w:i/>
          <w:iCs/>
          <w:sz w:val="28"/>
          <w:szCs w:val="28"/>
        </w:rPr>
      </w:pPr>
    </w:p>
    <w:p w14:paraId="4EE07DAA" w14:textId="77777777" w:rsidR="00546B83" w:rsidRDefault="00547758">
      <w:pPr>
        <w:suppressAutoHyphens w:val="0"/>
        <w:spacing w:before="100" w:after="200" w:line="276" w:lineRule="auto"/>
        <w:jc w:val="center"/>
        <w:rPr>
          <w:rFonts w:ascii="Calibri" w:hAnsi="Calibri" w:cs="Calibri"/>
          <w:b/>
          <w:bCs/>
          <w:i/>
          <w:iCs/>
          <w:sz w:val="28"/>
          <w:szCs w:val="28"/>
        </w:rPr>
      </w:pPr>
      <w:r>
        <w:rPr>
          <w:rFonts w:ascii="Calibri" w:hAnsi="Calibri" w:cs="Calibri"/>
          <w:b/>
          <w:bCs/>
          <w:i/>
          <w:iCs/>
          <w:sz w:val="28"/>
          <w:szCs w:val="28"/>
        </w:rPr>
        <w:t>SCHEMA DEL NUOVO CODICE DEI CONTRATTI PUBBLICI</w:t>
      </w:r>
    </w:p>
    <w:p w14:paraId="1541CB49" w14:textId="77777777" w:rsidR="00546B83" w:rsidRDefault="00547758">
      <w:pPr>
        <w:pStyle w:val="Corpotesto"/>
        <w:jc w:val="center"/>
        <w:rPr>
          <w:rFonts w:ascii="Calibri" w:hAnsi="Calibri" w:cs="Calibri"/>
          <w:b/>
          <w:bCs/>
          <w:i/>
          <w:iCs/>
          <w:sz w:val="28"/>
          <w:szCs w:val="28"/>
        </w:rPr>
      </w:pPr>
      <w:r>
        <w:rPr>
          <w:rFonts w:ascii="Calibri" w:hAnsi="Calibri" w:cs="Calibri"/>
          <w:b/>
          <w:bCs/>
          <w:i/>
          <w:iCs/>
          <w:sz w:val="28"/>
          <w:szCs w:val="28"/>
        </w:rPr>
        <w:t>IN ATTUAZIONE DELLA LEGGE DELEGA 21 GIUGNO 2022, N. 78.</w:t>
      </w:r>
    </w:p>
    <w:p w14:paraId="182071E9" w14:textId="77777777" w:rsidR="00546B83" w:rsidRDefault="00546B83">
      <w:pPr>
        <w:suppressAutoHyphens w:val="0"/>
        <w:spacing w:before="100" w:after="200" w:line="276" w:lineRule="auto"/>
        <w:jc w:val="center"/>
        <w:rPr>
          <w:rFonts w:ascii="Calibri" w:hAnsi="Calibri" w:cs="Calibri"/>
          <w:b/>
          <w:bCs/>
          <w:i/>
          <w:iCs/>
          <w:sz w:val="28"/>
          <w:szCs w:val="28"/>
        </w:rPr>
      </w:pPr>
    </w:p>
    <w:p w14:paraId="36A59A0A" w14:textId="77777777" w:rsidR="00336D92" w:rsidRDefault="00336D92" w:rsidP="00336D92">
      <w:pPr>
        <w:suppressAutoHyphens w:val="0"/>
        <w:spacing w:before="100" w:after="200" w:line="276" w:lineRule="auto"/>
        <w:jc w:val="center"/>
        <w:rPr>
          <w:rFonts w:ascii="Calibri" w:hAnsi="Calibri" w:cs="Calibri"/>
          <w:b/>
          <w:bCs/>
          <w:i/>
          <w:iCs/>
          <w:sz w:val="28"/>
          <w:szCs w:val="28"/>
        </w:rPr>
      </w:pPr>
      <w:r>
        <w:rPr>
          <w:rFonts w:ascii="Calibri" w:hAnsi="Calibri" w:cs="Calibri"/>
          <w:b/>
          <w:bCs/>
          <w:i/>
          <w:iCs/>
          <w:sz w:val="28"/>
          <w:szCs w:val="28"/>
        </w:rPr>
        <w:t xml:space="preserve">CONTRIBUTO UPI </w:t>
      </w:r>
    </w:p>
    <w:p w14:paraId="2FBEA893" w14:textId="77777777" w:rsidR="00546B83" w:rsidRDefault="00546B83">
      <w:pPr>
        <w:suppressAutoHyphens w:val="0"/>
        <w:spacing w:before="100" w:after="200" w:line="276" w:lineRule="auto"/>
        <w:jc w:val="center"/>
        <w:rPr>
          <w:rFonts w:ascii="Calibri" w:hAnsi="Calibri" w:cs="Calibri"/>
          <w:b/>
          <w:bCs/>
          <w:i/>
          <w:iCs/>
          <w:sz w:val="28"/>
          <w:szCs w:val="28"/>
        </w:rPr>
      </w:pPr>
    </w:p>
    <w:p w14:paraId="4055DA55" w14:textId="77777777" w:rsidR="00546B83" w:rsidRDefault="00546B83">
      <w:pPr>
        <w:suppressAutoHyphens w:val="0"/>
        <w:spacing w:before="100" w:after="200" w:line="276" w:lineRule="auto"/>
        <w:jc w:val="center"/>
        <w:rPr>
          <w:rFonts w:ascii="Calibri" w:hAnsi="Calibri" w:cs="Calibri"/>
          <w:b/>
          <w:bCs/>
          <w:i/>
          <w:iCs/>
          <w:sz w:val="28"/>
          <w:szCs w:val="28"/>
        </w:rPr>
      </w:pPr>
    </w:p>
    <w:p w14:paraId="38A5BAEF" w14:textId="77777777" w:rsidR="00546B83" w:rsidRDefault="00546B83">
      <w:pPr>
        <w:suppressAutoHyphens w:val="0"/>
        <w:spacing w:before="100" w:after="200" w:line="276" w:lineRule="auto"/>
        <w:jc w:val="center"/>
        <w:rPr>
          <w:rFonts w:ascii="Calibri" w:hAnsi="Calibri" w:cs="Calibri"/>
          <w:b/>
          <w:bCs/>
          <w:i/>
          <w:iCs/>
          <w:sz w:val="28"/>
          <w:szCs w:val="28"/>
        </w:rPr>
      </w:pPr>
    </w:p>
    <w:p w14:paraId="49012450" w14:textId="77777777" w:rsidR="00546B83" w:rsidRDefault="00546B83">
      <w:pPr>
        <w:suppressAutoHyphens w:val="0"/>
        <w:spacing w:before="100" w:after="200" w:line="276" w:lineRule="auto"/>
        <w:jc w:val="center"/>
        <w:rPr>
          <w:rFonts w:ascii="Calibri" w:hAnsi="Calibri" w:cs="Calibri"/>
          <w:b/>
          <w:bCs/>
          <w:i/>
          <w:iCs/>
          <w:sz w:val="28"/>
          <w:szCs w:val="28"/>
        </w:rPr>
      </w:pPr>
    </w:p>
    <w:p w14:paraId="4BDAE176" w14:textId="77777777" w:rsidR="00546B83" w:rsidRDefault="00546B83">
      <w:pPr>
        <w:suppressAutoHyphens w:val="0"/>
        <w:spacing w:before="100" w:after="200" w:line="276" w:lineRule="auto"/>
        <w:jc w:val="center"/>
        <w:rPr>
          <w:rFonts w:ascii="Calibri" w:hAnsi="Calibri" w:cs="Calibri"/>
          <w:b/>
          <w:bCs/>
          <w:i/>
          <w:iCs/>
          <w:sz w:val="28"/>
          <w:szCs w:val="28"/>
        </w:rPr>
      </w:pPr>
    </w:p>
    <w:p w14:paraId="270841E3" w14:textId="77777777" w:rsidR="00546B83" w:rsidRDefault="00546B83">
      <w:pPr>
        <w:suppressAutoHyphens w:val="0"/>
        <w:spacing w:before="100" w:after="200" w:line="276" w:lineRule="auto"/>
        <w:jc w:val="center"/>
        <w:rPr>
          <w:rFonts w:ascii="Calibri" w:hAnsi="Calibri" w:cs="Calibri"/>
          <w:b/>
          <w:bCs/>
          <w:i/>
          <w:iCs/>
          <w:sz w:val="28"/>
          <w:szCs w:val="28"/>
        </w:rPr>
      </w:pPr>
    </w:p>
    <w:p w14:paraId="02D46907" w14:textId="77777777" w:rsidR="00546B83" w:rsidRDefault="00546B83">
      <w:pPr>
        <w:suppressAutoHyphens w:val="0"/>
        <w:spacing w:before="100" w:after="200" w:line="276" w:lineRule="auto"/>
        <w:jc w:val="center"/>
        <w:rPr>
          <w:rFonts w:ascii="Calibri" w:hAnsi="Calibri" w:cs="Calibri"/>
          <w:b/>
          <w:bCs/>
          <w:i/>
          <w:iCs/>
          <w:sz w:val="28"/>
          <w:szCs w:val="28"/>
        </w:rPr>
      </w:pPr>
    </w:p>
    <w:p w14:paraId="62E378E2" w14:textId="77777777" w:rsidR="00336D92" w:rsidRDefault="00336D92">
      <w:pPr>
        <w:suppressAutoHyphens w:val="0"/>
        <w:spacing w:before="100" w:after="200" w:line="276" w:lineRule="auto"/>
        <w:jc w:val="center"/>
        <w:rPr>
          <w:rFonts w:ascii="Calibri" w:hAnsi="Calibri" w:cs="Calibri"/>
          <w:i/>
          <w:iCs/>
          <w:sz w:val="24"/>
          <w:szCs w:val="24"/>
        </w:rPr>
      </w:pPr>
    </w:p>
    <w:p w14:paraId="0A10F95C" w14:textId="77777777" w:rsidR="00336D92" w:rsidRDefault="00336D92">
      <w:pPr>
        <w:suppressAutoHyphens w:val="0"/>
        <w:spacing w:before="100" w:after="200" w:line="276" w:lineRule="auto"/>
        <w:jc w:val="center"/>
        <w:rPr>
          <w:rFonts w:ascii="Calibri" w:hAnsi="Calibri" w:cs="Calibri"/>
          <w:i/>
          <w:iCs/>
          <w:sz w:val="24"/>
          <w:szCs w:val="24"/>
        </w:rPr>
      </w:pPr>
    </w:p>
    <w:p w14:paraId="093639A8" w14:textId="3D70898E" w:rsidR="00546B83" w:rsidRPr="003B421F" w:rsidRDefault="00547758">
      <w:pPr>
        <w:suppressAutoHyphens w:val="0"/>
        <w:spacing w:before="100" w:after="200" w:line="276" w:lineRule="auto"/>
        <w:jc w:val="center"/>
        <w:rPr>
          <w:sz w:val="24"/>
          <w:szCs w:val="24"/>
        </w:rPr>
      </w:pPr>
      <w:r w:rsidRPr="003B421F">
        <w:rPr>
          <w:rFonts w:ascii="Calibri" w:hAnsi="Calibri" w:cs="Calibri"/>
          <w:i/>
          <w:iCs/>
          <w:sz w:val="24"/>
          <w:szCs w:val="24"/>
        </w:rPr>
        <w:t xml:space="preserve">Roma, </w:t>
      </w:r>
      <w:r w:rsidR="00336D92">
        <w:rPr>
          <w:rFonts w:ascii="Calibri" w:hAnsi="Calibri" w:cs="Calibri"/>
          <w:i/>
          <w:iCs/>
          <w:sz w:val="24"/>
          <w:szCs w:val="24"/>
        </w:rPr>
        <w:t>30</w:t>
      </w:r>
      <w:r w:rsidR="003B421F">
        <w:rPr>
          <w:rFonts w:ascii="Calibri" w:hAnsi="Calibri" w:cs="Calibri"/>
          <w:i/>
          <w:iCs/>
          <w:sz w:val="24"/>
          <w:szCs w:val="24"/>
        </w:rPr>
        <w:t xml:space="preserve"> </w:t>
      </w:r>
      <w:r w:rsidRPr="003B421F">
        <w:rPr>
          <w:rFonts w:ascii="Calibri" w:hAnsi="Calibri" w:cs="Calibri"/>
          <w:i/>
          <w:iCs/>
          <w:sz w:val="24"/>
          <w:szCs w:val="24"/>
        </w:rPr>
        <w:t>gennaio 2023</w:t>
      </w:r>
    </w:p>
    <w:p w14:paraId="004E8DA5" w14:textId="77777777" w:rsidR="00546B83" w:rsidRDefault="00546B83">
      <w:pPr>
        <w:suppressAutoHyphens w:val="0"/>
        <w:spacing w:before="100" w:after="200" w:line="276" w:lineRule="auto"/>
        <w:jc w:val="center"/>
        <w:rPr>
          <w:rFonts w:ascii="Calibri" w:hAnsi="Calibri" w:cs="Calibri"/>
          <w:b/>
          <w:bCs/>
          <w:i/>
          <w:iCs/>
          <w:sz w:val="24"/>
          <w:szCs w:val="24"/>
        </w:rPr>
      </w:pPr>
    </w:p>
    <w:p w14:paraId="609C9B7A" w14:textId="77777777" w:rsidR="00546B83" w:rsidRDefault="00547758">
      <w:pPr>
        <w:pStyle w:val="Paragrafoelenco"/>
        <w:numPr>
          <w:ilvl w:val="0"/>
          <w:numId w:val="3"/>
        </w:numPr>
        <w:suppressAutoHyphens w:val="0"/>
        <w:spacing w:line="276" w:lineRule="auto"/>
        <w:jc w:val="both"/>
      </w:pPr>
      <w:r>
        <w:rPr>
          <w:rFonts w:ascii="Calibri" w:hAnsi="Calibri" w:cs="Calibri"/>
          <w:b/>
          <w:bCs/>
          <w:i/>
          <w:iCs/>
          <w:sz w:val="24"/>
          <w:szCs w:val="24"/>
        </w:rPr>
        <w:t>Premessa</w:t>
      </w:r>
    </w:p>
    <w:p w14:paraId="73057B6C" w14:textId="77777777" w:rsidR="00546B83" w:rsidRDefault="00547758">
      <w:pPr>
        <w:suppressAutoHyphens w:val="0"/>
        <w:spacing w:line="276" w:lineRule="auto"/>
        <w:jc w:val="both"/>
      </w:pPr>
      <w:r>
        <w:rPr>
          <w:rFonts w:ascii="Calibri" w:hAnsi="Calibri" w:cs="Calibri"/>
          <w:b/>
          <w:bCs/>
          <w:sz w:val="24"/>
          <w:szCs w:val="24"/>
        </w:rPr>
        <w:t xml:space="preserve">L’Unione delle Province d’Italia (UPI) </w:t>
      </w:r>
      <w:r>
        <w:rPr>
          <w:rFonts w:ascii="Calibri" w:hAnsi="Calibri" w:cs="Calibri"/>
          <w:sz w:val="24"/>
          <w:szCs w:val="24"/>
        </w:rPr>
        <w:t>ha apprezzato il lavoro svolto dal Consiglio di Stato e dal Governo per l’approvazione dello schema di decreto legislativo di revisione della disciplina dei contratti pubblici nei tempi previsti dal PNRR e in attuazio</w:t>
      </w:r>
      <w:r>
        <w:rPr>
          <w:rFonts w:ascii="Calibri" w:hAnsi="Calibri" w:cs="Calibri"/>
          <w:sz w:val="24"/>
          <w:szCs w:val="24"/>
        </w:rPr>
        <w:t xml:space="preserve">ne dei principi e criteri direttivi della legge delega 78/22 e </w:t>
      </w:r>
      <w:r>
        <w:rPr>
          <w:rFonts w:ascii="Calibri" w:hAnsi="Calibri" w:cs="Calibri"/>
          <w:b/>
          <w:bCs/>
          <w:sz w:val="24"/>
          <w:szCs w:val="24"/>
        </w:rPr>
        <w:t xml:space="preserve">auspica che il percorso di approvazione del nuovo codice dei contratti pubblici sia completato attraverso un percorso condiviso con le rappresentanze delle autonomie territoriali in Conferenza </w:t>
      </w:r>
      <w:r>
        <w:rPr>
          <w:rFonts w:ascii="Calibri" w:hAnsi="Calibri" w:cs="Calibri"/>
          <w:b/>
          <w:bCs/>
          <w:sz w:val="24"/>
          <w:szCs w:val="24"/>
        </w:rPr>
        <w:t>unificata e con il Parlamento</w:t>
      </w:r>
      <w:r>
        <w:rPr>
          <w:rFonts w:ascii="Calibri" w:hAnsi="Calibri" w:cs="Calibri"/>
          <w:sz w:val="24"/>
          <w:szCs w:val="24"/>
        </w:rPr>
        <w:t>.</w:t>
      </w:r>
    </w:p>
    <w:p w14:paraId="345CE03C" w14:textId="77777777" w:rsidR="00546B83" w:rsidRDefault="00547758">
      <w:pPr>
        <w:suppressAutoHyphens w:val="0"/>
        <w:spacing w:line="276" w:lineRule="auto"/>
        <w:jc w:val="both"/>
      </w:pPr>
      <w:r>
        <w:rPr>
          <w:rFonts w:ascii="Calibri" w:hAnsi="Calibri" w:cs="Calibri"/>
          <w:sz w:val="24"/>
          <w:szCs w:val="24"/>
        </w:rPr>
        <w:t>Nel merito del provvedimento l’UPI apprezza la scelta contenuta nel titolo iniziale del provvedimento di indicare principi generali che dovranno guidare gli interpreti e gli operatori nell’attuazione della nuova disciplina, n</w:t>
      </w:r>
      <w:r>
        <w:rPr>
          <w:rFonts w:ascii="Calibri" w:hAnsi="Calibri" w:cs="Calibri"/>
          <w:sz w:val="24"/>
          <w:szCs w:val="24"/>
        </w:rPr>
        <w:t>onché l’autonomia contrattuale e la capacità di organizzarsi e di digitalizzare le procedure da parte delle pubbliche amministrazioni.</w:t>
      </w:r>
    </w:p>
    <w:p w14:paraId="6A133D54" w14:textId="696A5C61" w:rsidR="00546B83" w:rsidRDefault="00547758">
      <w:pPr>
        <w:suppressAutoHyphens w:val="0"/>
        <w:spacing w:line="276" w:lineRule="auto"/>
        <w:jc w:val="both"/>
      </w:pPr>
      <w:r>
        <w:rPr>
          <w:rFonts w:ascii="Calibri" w:hAnsi="Calibri" w:cs="Calibri"/>
          <w:sz w:val="24"/>
          <w:szCs w:val="24"/>
        </w:rPr>
        <w:t>Nella prospettiva di fornire un contributo alla scrittura di un codice dei contratti pubblici duraturo e che possa essere</w:t>
      </w:r>
      <w:r>
        <w:rPr>
          <w:rFonts w:ascii="Calibri" w:hAnsi="Calibri" w:cs="Calibri"/>
          <w:sz w:val="24"/>
          <w:szCs w:val="24"/>
        </w:rPr>
        <w:t xml:space="preserve"> applicato bene dalle pubbliche amministrazioni </w:t>
      </w:r>
      <w:r>
        <w:rPr>
          <w:rFonts w:ascii="Calibri" w:hAnsi="Calibri" w:cs="Calibri"/>
          <w:b/>
          <w:bCs/>
          <w:sz w:val="24"/>
          <w:szCs w:val="24"/>
        </w:rPr>
        <w:t>si segnalano alcune questioni prioritarie che si auspica possano essere tenute conto dal Governo nell’approvazione definitiva del decreto legislativo</w:t>
      </w:r>
      <w:r w:rsidR="00421D37">
        <w:rPr>
          <w:rFonts w:ascii="Calibri" w:hAnsi="Calibri" w:cs="Calibri"/>
          <w:b/>
          <w:bCs/>
          <w:sz w:val="24"/>
          <w:szCs w:val="24"/>
        </w:rPr>
        <w:t xml:space="preserve"> entro i tempi previsti</w:t>
      </w:r>
      <w:r>
        <w:rPr>
          <w:rFonts w:ascii="Calibri" w:hAnsi="Calibri" w:cs="Calibri"/>
          <w:sz w:val="24"/>
          <w:szCs w:val="24"/>
        </w:rPr>
        <w:t xml:space="preserve">. </w:t>
      </w:r>
    </w:p>
    <w:p w14:paraId="7F24B00E" w14:textId="77777777" w:rsidR="00546B83" w:rsidRDefault="00546B83">
      <w:pPr>
        <w:suppressAutoHyphens w:val="0"/>
        <w:spacing w:line="276" w:lineRule="auto"/>
        <w:jc w:val="both"/>
        <w:rPr>
          <w:rFonts w:ascii="Calibri" w:hAnsi="Calibri"/>
          <w:sz w:val="24"/>
          <w:szCs w:val="24"/>
        </w:rPr>
      </w:pPr>
    </w:p>
    <w:p w14:paraId="3D83028C" w14:textId="77777777" w:rsidR="00546B83" w:rsidRDefault="00547758">
      <w:pPr>
        <w:pStyle w:val="Paragrafoelenco"/>
        <w:numPr>
          <w:ilvl w:val="0"/>
          <w:numId w:val="3"/>
        </w:numPr>
        <w:suppressAutoHyphens w:val="0"/>
        <w:spacing w:line="276" w:lineRule="auto"/>
        <w:jc w:val="both"/>
      </w:pPr>
      <w:r>
        <w:rPr>
          <w:rFonts w:ascii="Calibri" w:hAnsi="Calibri" w:cs="Calibri"/>
          <w:b/>
          <w:bCs/>
          <w:i/>
          <w:iCs/>
          <w:sz w:val="24"/>
          <w:szCs w:val="24"/>
        </w:rPr>
        <w:t xml:space="preserve">L’entrata in vigore della nuova </w:t>
      </w:r>
      <w:r>
        <w:rPr>
          <w:rFonts w:ascii="Calibri" w:hAnsi="Calibri" w:cs="Calibri"/>
          <w:b/>
          <w:bCs/>
          <w:i/>
          <w:iCs/>
          <w:sz w:val="24"/>
          <w:szCs w:val="24"/>
        </w:rPr>
        <w:t>disciplina</w:t>
      </w:r>
    </w:p>
    <w:p w14:paraId="66057944" w14:textId="77777777" w:rsidR="00546B83" w:rsidRDefault="00547758">
      <w:pPr>
        <w:suppressAutoHyphens w:val="0"/>
        <w:spacing w:line="276" w:lineRule="auto"/>
        <w:jc w:val="both"/>
      </w:pPr>
      <w:r>
        <w:rPr>
          <w:rFonts w:ascii="Calibri" w:hAnsi="Calibri" w:cs="Calibri"/>
          <w:sz w:val="24"/>
          <w:szCs w:val="24"/>
        </w:rPr>
        <w:t>Gli enti territoriali hanno sottolineato unitariamente l’esigenza che la nuova disciplina del codice appalti non influisca sulle procedure in corso per l’attuazione dei progetti previsti nel PNRR che vedranno impegnate le amministrazioni aggiudi</w:t>
      </w:r>
      <w:r>
        <w:rPr>
          <w:rFonts w:ascii="Calibri" w:hAnsi="Calibri" w:cs="Calibri"/>
          <w:sz w:val="24"/>
          <w:szCs w:val="24"/>
        </w:rPr>
        <w:t>catrici per tutto il 2023.</w:t>
      </w:r>
    </w:p>
    <w:p w14:paraId="7B0A1FAF" w14:textId="77777777" w:rsidR="00546B83" w:rsidRDefault="00547758">
      <w:pPr>
        <w:suppressAutoHyphens w:val="0"/>
        <w:spacing w:line="276" w:lineRule="auto"/>
        <w:jc w:val="both"/>
      </w:pPr>
      <w:r>
        <w:rPr>
          <w:rFonts w:ascii="Calibri" w:hAnsi="Calibri" w:cs="Calibri"/>
          <w:sz w:val="24"/>
          <w:szCs w:val="24"/>
        </w:rPr>
        <w:t xml:space="preserve">Vista la complessità della sfida che il Paese sta affrontando per la semplificazione e il rilancio degli appalti pubblici e per l’attuazione del PNRR e opportuno che le pubbliche amministrazioni abbiano un tempo adeguati </w:t>
      </w:r>
      <w:proofErr w:type="gramStart"/>
      <w:r>
        <w:rPr>
          <w:rFonts w:ascii="Calibri" w:hAnsi="Calibri" w:cs="Calibri"/>
          <w:sz w:val="24"/>
          <w:szCs w:val="24"/>
        </w:rPr>
        <w:t>per</w:t>
      </w:r>
      <w:proofErr w:type="gramEnd"/>
      <w:r>
        <w:rPr>
          <w:rFonts w:ascii="Calibri" w:hAnsi="Calibri" w:cs="Calibri"/>
          <w:sz w:val="24"/>
          <w:szCs w:val="24"/>
        </w:rPr>
        <w:t xml:space="preserve"> assi</w:t>
      </w:r>
      <w:r>
        <w:rPr>
          <w:rFonts w:ascii="Calibri" w:hAnsi="Calibri" w:cs="Calibri"/>
          <w:sz w:val="24"/>
          <w:szCs w:val="24"/>
        </w:rPr>
        <w:t xml:space="preserve">milare le disposizioni contenute nel nuovo codice </w:t>
      </w:r>
    </w:p>
    <w:p w14:paraId="4E6E71B0" w14:textId="788F5D13" w:rsidR="00546B83" w:rsidRPr="00421D37" w:rsidRDefault="00547758">
      <w:pPr>
        <w:pStyle w:val="Paragrafoelenco"/>
        <w:numPr>
          <w:ilvl w:val="0"/>
          <w:numId w:val="1"/>
        </w:numPr>
        <w:suppressAutoHyphens w:val="0"/>
        <w:spacing w:line="276" w:lineRule="auto"/>
        <w:jc w:val="both"/>
      </w:pPr>
      <w:r>
        <w:rPr>
          <w:rFonts w:ascii="Calibri" w:hAnsi="Calibri"/>
          <w:sz w:val="24"/>
          <w:szCs w:val="24"/>
        </w:rPr>
        <w:t xml:space="preserve">Pertanto, </w:t>
      </w:r>
      <w:r>
        <w:rPr>
          <w:rFonts w:ascii="Calibri" w:hAnsi="Calibri"/>
          <w:b/>
          <w:bCs/>
          <w:sz w:val="24"/>
          <w:szCs w:val="24"/>
        </w:rPr>
        <w:t>è auspicabile che la nuova disciplina dei contratti pubblici, pur entrando in vigore nei tempi previsti dal PNRR, abbia un periodo di sperimentazione e convivenza con la disciplina vigente per tu</w:t>
      </w:r>
      <w:r>
        <w:rPr>
          <w:rFonts w:ascii="Calibri" w:hAnsi="Calibri"/>
          <w:b/>
          <w:bCs/>
          <w:sz w:val="24"/>
          <w:szCs w:val="24"/>
        </w:rPr>
        <w:t>tto l’anno 2023 (e non fino al mese di luglio 2023) e acquisti efficacia, superando integralmente le norme vigenti, a partire dal 1° gennaio 2024</w:t>
      </w:r>
      <w:r>
        <w:rPr>
          <w:rFonts w:ascii="Calibri" w:hAnsi="Calibri"/>
          <w:sz w:val="24"/>
          <w:szCs w:val="24"/>
        </w:rPr>
        <w:t>.</w:t>
      </w:r>
    </w:p>
    <w:p w14:paraId="2EF2A2DB" w14:textId="77777777" w:rsidR="00421D37" w:rsidRDefault="00421D37" w:rsidP="00421D37">
      <w:pPr>
        <w:pStyle w:val="Paragrafoelenco"/>
        <w:suppressAutoHyphens w:val="0"/>
        <w:spacing w:line="276" w:lineRule="auto"/>
        <w:jc w:val="both"/>
      </w:pPr>
    </w:p>
    <w:p w14:paraId="6227C0F6" w14:textId="2A228F69" w:rsidR="00421D37" w:rsidRPr="00421D37" w:rsidRDefault="00421D37" w:rsidP="00421D37">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b/>
          <w:bCs/>
          <w:i/>
          <w:iCs/>
        </w:rPr>
      </w:pPr>
      <w:r w:rsidRPr="00421D37">
        <w:rPr>
          <w:rFonts w:ascii="Calibri" w:hAnsi="Calibri" w:cs="Calibri"/>
          <w:b/>
          <w:bCs/>
          <w:i/>
          <w:iCs/>
          <w:sz w:val="24"/>
          <w:szCs w:val="24"/>
        </w:rPr>
        <w:t>All’articolo 229, comma 2, le parole 1° luglio 2023” sono sostituite dalle parole “1° gennaio 2024”.</w:t>
      </w:r>
    </w:p>
    <w:p w14:paraId="7E0C432D" w14:textId="4640D353" w:rsidR="00546B83" w:rsidRDefault="00546B83">
      <w:pPr>
        <w:suppressAutoHyphens w:val="0"/>
        <w:spacing w:line="276" w:lineRule="auto"/>
        <w:jc w:val="both"/>
        <w:rPr>
          <w:rFonts w:ascii="Calibri" w:hAnsi="Calibri" w:cs="Calibri"/>
          <w:sz w:val="24"/>
          <w:szCs w:val="24"/>
        </w:rPr>
      </w:pPr>
    </w:p>
    <w:p w14:paraId="3FF7E467" w14:textId="240227AD" w:rsidR="00336D92" w:rsidRDefault="00336D92">
      <w:pPr>
        <w:suppressAutoHyphens w:val="0"/>
        <w:spacing w:line="276" w:lineRule="auto"/>
        <w:jc w:val="both"/>
        <w:rPr>
          <w:rFonts w:ascii="Calibri" w:hAnsi="Calibri" w:cs="Calibri"/>
          <w:sz w:val="24"/>
          <w:szCs w:val="24"/>
        </w:rPr>
      </w:pPr>
    </w:p>
    <w:p w14:paraId="01B8CCAD" w14:textId="2990BE7F" w:rsidR="00336D92" w:rsidRDefault="00336D92">
      <w:pPr>
        <w:suppressAutoHyphens w:val="0"/>
        <w:spacing w:line="276" w:lineRule="auto"/>
        <w:jc w:val="both"/>
        <w:rPr>
          <w:rFonts w:ascii="Calibri" w:hAnsi="Calibri" w:cs="Calibri"/>
          <w:sz w:val="24"/>
          <w:szCs w:val="24"/>
        </w:rPr>
      </w:pPr>
    </w:p>
    <w:p w14:paraId="30E8EA14" w14:textId="77777777" w:rsidR="00336D92" w:rsidRDefault="00336D92">
      <w:pPr>
        <w:suppressAutoHyphens w:val="0"/>
        <w:spacing w:line="276" w:lineRule="auto"/>
        <w:jc w:val="both"/>
        <w:rPr>
          <w:rFonts w:ascii="Calibri" w:hAnsi="Calibri" w:cs="Calibri"/>
          <w:sz w:val="24"/>
          <w:szCs w:val="24"/>
        </w:rPr>
      </w:pPr>
    </w:p>
    <w:p w14:paraId="377A182C" w14:textId="77777777" w:rsidR="00546B83" w:rsidRDefault="00547758">
      <w:pPr>
        <w:pStyle w:val="Paragrafoelenco"/>
        <w:numPr>
          <w:ilvl w:val="0"/>
          <w:numId w:val="3"/>
        </w:numPr>
        <w:suppressAutoHyphens w:val="0"/>
        <w:spacing w:line="276" w:lineRule="auto"/>
        <w:jc w:val="both"/>
      </w:pPr>
      <w:r>
        <w:rPr>
          <w:rFonts w:ascii="Calibri" w:hAnsi="Calibri" w:cs="Calibri"/>
          <w:b/>
          <w:bCs/>
          <w:i/>
          <w:iCs/>
          <w:sz w:val="24"/>
          <w:szCs w:val="24"/>
        </w:rPr>
        <w:t>La qualificazione delle stazioni appaltanti e delle centrali di committenza</w:t>
      </w:r>
    </w:p>
    <w:p w14:paraId="61FE2F84" w14:textId="77777777" w:rsidR="00546B83" w:rsidRDefault="00547758">
      <w:pPr>
        <w:suppressAutoHyphens w:val="0"/>
        <w:spacing w:line="276" w:lineRule="auto"/>
        <w:jc w:val="both"/>
      </w:pPr>
      <w:r>
        <w:rPr>
          <w:rFonts w:ascii="Calibri" w:hAnsi="Calibri" w:cs="Calibri"/>
          <w:sz w:val="24"/>
          <w:szCs w:val="24"/>
        </w:rPr>
        <w:t xml:space="preserve">L’articolo 63 dello schema preliminare del Codice appalti prevede i requisiti per la qualificazione delle stazioni appaltanti e riconosce, in sede di prima applicazione, la </w:t>
      </w:r>
      <w:r>
        <w:rPr>
          <w:rFonts w:ascii="Calibri" w:hAnsi="Calibri" w:cs="Calibri"/>
          <w:b/>
          <w:bCs/>
          <w:sz w:val="24"/>
          <w:szCs w:val="24"/>
        </w:rPr>
        <w:t>qualifi</w:t>
      </w:r>
      <w:r>
        <w:rPr>
          <w:rFonts w:ascii="Calibri" w:hAnsi="Calibri" w:cs="Calibri"/>
          <w:b/>
          <w:bCs/>
          <w:sz w:val="24"/>
          <w:szCs w:val="24"/>
        </w:rPr>
        <w:t>cazione con riserva delle centrali di committenza delle Province e delle Città metropolitane</w:t>
      </w:r>
      <w:r>
        <w:rPr>
          <w:rFonts w:ascii="Calibri" w:hAnsi="Calibri" w:cs="Calibri"/>
          <w:sz w:val="24"/>
          <w:szCs w:val="24"/>
        </w:rPr>
        <w:t>.</w:t>
      </w:r>
    </w:p>
    <w:p w14:paraId="6F71CB7E" w14:textId="4478252C" w:rsidR="00546B83" w:rsidRDefault="00547758">
      <w:pPr>
        <w:suppressAutoHyphens w:val="0"/>
        <w:spacing w:line="276" w:lineRule="auto"/>
        <w:jc w:val="both"/>
        <w:rPr>
          <w:rFonts w:ascii="Calibri" w:hAnsi="Calibri" w:cs="Calibri"/>
          <w:sz w:val="24"/>
          <w:szCs w:val="24"/>
        </w:rPr>
      </w:pPr>
      <w:r>
        <w:rPr>
          <w:rFonts w:ascii="Calibri" w:hAnsi="Calibri" w:cs="Calibri"/>
          <w:sz w:val="24"/>
          <w:szCs w:val="24"/>
        </w:rPr>
        <w:t>L’UPI apprezza questa scelta compiuta dal Governo in coerenza con le linee guida per la qualificazione delle stazioni appaltanti e delle centrali di committenza e</w:t>
      </w:r>
      <w:r>
        <w:rPr>
          <w:rFonts w:ascii="Calibri" w:hAnsi="Calibri" w:cs="Calibri"/>
          <w:sz w:val="24"/>
          <w:szCs w:val="24"/>
        </w:rPr>
        <w:t>manate dall’ANAC, a cui le Province italiane hanno dato il loro contributo, ma evidenzia queste ulteriori esigenze.</w:t>
      </w:r>
    </w:p>
    <w:p w14:paraId="62610493" w14:textId="0A47C95A" w:rsidR="00421D37" w:rsidRDefault="00421D37" w:rsidP="00421D37">
      <w:pPr>
        <w:pStyle w:val="Paragrafoelenco"/>
        <w:suppressAutoHyphens w:val="0"/>
        <w:spacing w:line="276" w:lineRule="auto"/>
        <w:ind w:left="0"/>
        <w:contextualSpacing w:val="0"/>
        <w:jc w:val="both"/>
      </w:pPr>
      <w:r>
        <w:rPr>
          <w:rFonts w:ascii="Calibri" w:hAnsi="Calibri" w:cs="Calibri"/>
          <w:sz w:val="24"/>
          <w:szCs w:val="24"/>
        </w:rPr>
        <w:t xml:space="preserve">La nuova disciplina deve puntare ad un </w:t>
      </w:r>
      <w:r>
        <w:rPr>
          <w:rFonts w:ascii="Calibri" w:hAnsi="Calibri" w:cs="Calibri"/>
          <w:b/>
          <w:bCs/>
          <w:sz w:val="24"/>
          <w:szCs w:val="24"/>
        </w:rPr>
        <w:t>equilibrio tra le esigenze di centralizzazione e specializzazione e le esigenze di adeguato presidio territoriale, attraverso l’incentivazione all’aggregazione degli enti locali intorno alle stazioni uniche appaltanti che operano in ambito provinciale e metropolitano</w:t>
      </w:r>
      <w:r>
        <w:rPr>
          <w:rFonts w:ascii="Calibri" w:hAnsi="Calibri" w:cs="Calibri"/>
          <w:sz w:val="24"/>
          <w:szCs w:val="24"/>
        </w:rPr>
        <w:t>.</w:t>
      </w:r>
    </w:p>
    <w:p w14:paraId="3EF973BD" w14:textId="570584E7" w:rsidR="00421D37" w:rsidRDefault="00421D37" w:rsidP="00421D37">
      <w:pPr>
        <w:suppressAutoHyphens w:val="0"/>
        <w:spacing w:line="276" w:lineRule="auto"/>
        <w:jc w:val="both"/>
        <w:rPr>
          <w:rFonts w:ascii="Calibri" w:hAnsi="Calibri" w:cs="Calibri"/>
          <w:sz w:val="24"/>
          <w:szCs w:val="24"/>
        </w:rPr>
      </w:pPr>
      <w:r w:rsidRPr="00421D37">
        <w:rPr>
          <w:rFonts w:ascii="Calibri" w:hAnsi="Calibri" w:cs="Calibri"/>
          <w:sz w:val="24"/>
          <w:szCs w:val="24"/>
        </w:rPr>
        <w:t xml:space="preserve">Occorre evitare una centralizzazione degli acquisti di tipo monopolistico. La costituzione di una rete diffusa di centrali di committenza, attraverso la qualificazione e il rafforzamento delle stazioni uniche appaltanti provinciali e metropolitane, consente di </w:t>
      </w:r>
      <w:r w:rsidRPr="00421D37">
        <w:rPr>
          <w:rFonts w:ascii="Calibri" w:hAnsi="Calibri" w:cs="Calibri"/>
          <w:b/>
          <w:bCs/>
          <w:sz w:val="24"/>
          <w:szCs w:val="24"/>
        </w:rPr>
        <w:t>tener conto delle esigenze del tessuto produttivo italiano costituito da piccole e medie imprese che operano a livello locale</w:t>
      </w:r>
      <w:r w:rsidRPr="00421D37">
        <w:rPr>
          <w:rFonts w:ascii="Calibri" w:hAnsi="Calibri" w:cs="Calibri"/>
          <w:sz w:val="24"/>
          <w:szCs w:val="24"/>
        </w:rPr>
        <w:t>, nel rispetto dei principi accesso al mercato e di tutela della concorrenza</w:t>
      </w:r>
      <w:r w:rsidRPr="00421D37">
        <w:rPr>
          <w:rFonts w:ascii="Calibri" w:hAnsi="Calibri" w:cs="Calibri"/>
          <w:b/>
          <w:bCs/>
          <w:sz w:val="24"/>
          <w:szCs w:val="24"/>
        </w:rPr>
        <w:t>.</w:t>
      </w:r>
      <w:r w:rsidRPr="00421D37">
        <w:rPr>
          <w:rFonts w:ascii="Calibri" w:hAnsi="Calibri" w:cs="Calibri"/>
          <w:sz w:val="24"/>
          <w:szCs w:val="24"/>
        </w:rPr>
        <w:t xml:space="preserve"> </w:t>
      </w:r>
    </w:p>
    <w:p w14:paraId="2D06EEF0" w14:textId="01D867BC" w:rsidR="00D729C2" w:rsidRPr="00421D37" w:rsidRDefault="00D729C2" w:rsidP="00D729C2">
      <w:pPr>
        <w:pStyle w:val="Paragrafoelenco"/>
        <w:numPr>
          <w:ilvl w:val="0"/>
          <w:numId w:val="8"/>
        </w:numPr>
        <w:suppressAutoHyphens w:val="0"/>
        <w:spacing w:line="276" w:lineRule="auto"/>
        <w:contextualSpacing w:val="0"/>
        <w:jc w:val="both"/>
      </w:pPr>
      <w:r>
        <w:rPr>
          <w:rFonts w:ascii="Calibri" w:hAnsi="Calibri" w:cs="Calibri"/>
          <w:sz w:val="24"/>
          <w:szCs w:val="24"/>
        </w:rPr>
        <w:t xml:space="preserve">Al fine di consentire una progressiva qualificazione delle stazioni appaltanti e delle centrali di committenza, occorre meglio disciplinare la </w:t>
      </w:r>
      <w:r>
        <w:rPr>
          <w:rFonts w:ascii="Calibri" w:hAnsi="Calibri" w:cs="Calibri"/>
          <w:b/>
          <w:bCs/>
          <w:sz w:val="24"/>
          <w:szCs w:val="24"/>
        </w:rPr>
        <w:t xml:space="preserve">soglia sotto la quale le amministrazioni aggiudicatrici non qualificate potranno continuare a gestire gli affidamenti direttamente senza ricorrere a soggetti qualificati, </w:t>
      </w:r>
      <w:r>
        <w:rPr>
          <w:rFonts w:ascii="Calibri" w:hAnsi="Calibri" w:cs="Calibri"/>
          <w:sz w:val="24"/>
          <w:szCs w:val="24"/>
        </w:rPr>
        <w:t>tenendo conto delle soglie comunitarie e delle modifiche intervenute negli ultimi anni.</w:t>
      </w:r>
    </w:p>
    <w:p w14:paraId="44B1AC52" w14:textId="2CF334B6" w:rsidR="00D729C2" w:rsidRPr="00421D37"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b/>
          <w:bCs/>
          <w:i/>
          <w:iCs/>
        </w:rPr>
      </w:pPr>
      <w:r w:rsidRPr="00421D37">
        <w:rPr>
          <w:rFonts w:ascii="Calibri" w:hAnsi="Calibri" w:cs="Calibri"/>
          <w:b/>
          <w:bCs/>
          <w:i/>
          <w:iCs/>
          <w:sz w:val="24"/>
          <w:szCs w:val="24"/>
        </w:rPr>
        <w:t xml:space="preserve">All’articolo </w:t>
      </w:r>
      <w:r>
        <w:rPr>
          <w:rFonts w:ascii="Calibri" w:hAnsi="Calibri" w:cs="Calibri"/>
          <w:b/>
          <w:bCs/>
          <w:i/>
          <w:iCs/>
          <w:sz w:val="24"/>
          <w:szCs w:val="24"/>
        </w:rPr>
        <w:t>62</w:t>
      </w:r>
      <w:r w:rsidRPr="00421D37">
        <w:rPr>
          <w:rFonts w:ascii="Calibri" w:hAnsi="Calibri" w:cs="Calibri"/>
          <w:b/>
          <w:bCs/>
          <w:i/>
          <w:iCs/>
          <w:sz w:val="24"/>
          <w:szCs w:val="24"/>
        </w:rPr>
        <w:t xml:space="preserve">, comma </w:t>
      </w:r>
      <w:r>
        <w:rPr>
          <w:rFonts w:ascii="Calibri" w:hAnsi="Calibri" w:cs="Calibri"/>
          <w:b/>
          <w:bCs/>
          <w:i/>
          <w:iCs/>
          <w:sz w:val="24"/>
          <w:szCs w:val="24"/>
        </w:rPr>
        <w:t>1</w:t>
      </w:r>
      <w:r w:rsidRPr="00421D37">
        <w:rPr>
          <w:rFonts w:ascii="Calibri" w:hAnsi="Calibri" w:cs="Calibri"/>
          <w:b/>
          <w:bCs/>
          <w:i/>
          <w:iCs/>
          <w:sz w:val="24"/>
          <w:szCs w:val="24"/>
        </w:rPr>
        <w:t xml:space="preserve">, </w:t>
      </w:r>
      <w:r>
        <w:rPr>
          <w:rFonts w:ascii="Calibri" w:hAnsi="Calibri" w:cs="Calibri"/>
          <w:b/>
          <w:bCs/>
          <w:i/>
          <w:iCs/>
          <w:sz w:val="24"/>
          <w:szCs w:val="24"/>
        </w:rPr>
        <w:t>sono soppresse le “, e all’affidamento di lavori d’importo o pari a cinquecentomila euro”</w:t>
      </w:r>
      <w:r w:rsidRPr="00421D37">
        <w:rPr>
          <w:rFonts w:ascii="Calibri" w:hAnsi="Calibri" w:cs="Calibri"/>
          <w:b/>
          <w:bCs/>
          <w:i/>
          <w:iCs/>
          <w:sz w:val="24"/>
          <w:szCs w:val="24"/>
        </w:rPr>
        <w:t>.</w:t>
      </w:r>
    </w:p>
    <w:p w14:paraId="7B2CBBD3" w14:textId="77777777" w:rsidR="00D729C2" w:rsidRPr="00D729C2" w:rsidRDefault="00D729C2" w:rsidP="00D729C2">
      <w:pPr>
        <w:pStyle w:val="Paragrafoelenco"/>
        <w:suppressAutoHyphens w:val="0"/>
        <w:spacing w:line="276" w:lineRule="auto"/>
        <w:jc w:val="both"/>
      </w:pPr>
    </w:p>
    <w:p w14:paraId="4ECA1D5B" w14:textId="44DD9305" w:rsidR="00421D37" w:rsidRPr="00D729C2" w:rsidRDefault="00547758" w:rsidP="00421D37">
      <w:pPr>
        <w:pStyle w:val="Paragrafoelenco"/>
        <w:numPr>
          <w:ilvl w:val="0"/>
          <w:numId w:val="1"/>
        </w:numPr>
        <w:suppressAutoHyphens w:val="0"/>
        <w:spacing w:line="276" w:lineRule="auto"/>
        <w:jc w:val="both"/>
      </w:pPr>
      <w:r w:rsidRPr="00D729C2">
        <w:rPr>
          <w:rFonts w:ascii="Calibri" w:hAnsi="Calibri" w:cs="Calibri"/>
          <w:sz w:val="24"/>
          <w:szCs w:val="24"/>
        </w:rPr>
        <w:t xml:space="preserve">Occorre </w:t>
      </w:r>
      <w:r w:rsidR="00421D37" w:rsidRPr="00D729C2">
        <w:rPr>
          <w:rFonts w:ascii="Calibri" w:hAnsi="Calibri" w:cs="Calibri"/>
          <w:sz w:val="24"/>
          <w:szCs w:val="24"/>
        </w:rPr>
        <w:t xml:space="preserve">pertanto </w:t>
      </w:r>
      <w:r w:rsidRPr="00D729C2">
        <w:rPr>
          <w:rFonts w:ascii="Calibri" w:hAnsi="Calibri" w:cs="Calibri"/>
          <w:b/>
          <w:bCs/>
          <w:sz w:val="24"/>
          <w:szCs w:val="24"/>
        </w:rPr>
        <w:t>coordinare le disposizioni sulla qualificazione delle stazioni appaltanti e delle centrali</w:t>
      </w:r>
      <w:r w:rsidRPr="00D729C2">
        <w:rPr>
          <w:rFonts w:ascii="Calibri" w:hAnsi="Calibri" w:cs="Calibri"/>
          <w:b/>
          <w:bCs/>
          <w:sz w:val="24"/>
          <w:szCs w:val="24"/>
        </w:rPr>
        <w:t xml:space="preserve"> di committenza con il percorso di aggregazione e centralizzazione della committenza previsto nell’articolo 62</w:t>
      </w:r>
      <w:r w:rsidRPr="00D729C2">
        <w:rPr>
          <w:rFonts w:ascii="Calibri" w:hAnsi="Calibri" w:cs="Calibri"/>
          <w:sz w:val="24"/>
          <w:szCs w:val="24"/>
        </w:rPr>
        <w:t xml:space="preserve"> </w:t>
      </w:r>
      <w:r w:rsidRPr="00D729C2">
        <w:rPr>
          <w:rFonts w:ascii="Calibri" w:hAnsi="Calibri" w:cs="Calibri"/>
          <w:b/>
          <w:bCs/>
          <w:sz w:val="24"/>
          <w:szCs w:val="24"/>
        </w:rPr>
        <w:t xml:space="preserve">che deve </w:t>
      </w:r>
      <w:r w:rsidR="00D729C2" w:rsidRPr="00D729C2">
        <w:rPr>
          <w:rFonts w:ascii="Calibri" w:hAnsi="Calibri" w:cs="Calibri"/>
          <w:b/>
          <w:bCs/>
          <w:sz w:val="24"/>
          <w:szCs w:val="24"/>
        </w:rPr>
        <w:t xml:space="preserve">tener conto della specificità dell’esperienza delle stazioni uniche appaltanti provinciali e metropolitane. </w:t>
      </w:r>
    </w:p>
    <w:p w14:paraId="035DEED4" w14:textId="77777777" w:rsidR="00D729C2" w:rsidRDefault="00D729C2" w:rsidP="00D729C2">
      <w:pPr>
        <w:pStyle w:val="Paragrafoelenco"/>
        <w:suppressAutoHyphens w:val="0"/>
        <w:spacing w:line="276" w:lineRule="auto"/>
        <w:jc w:val="both"/>
      </w:pPr>
    </w:p>
    <w:p w14:paraId="5E282AB8" w14:textId="77777777" w:rsidR="00D729C2" w:rsidRPr="00D729C2"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rFonts w:ascii="Calibri" w:hAnsi="Calibri" w:cs="Calibri"/>
          <w:b/>
          <w:bCs/>
          <w:i/>
          <w:iCs/>
          <w:sz w:val="24"/>
          <w:szCs w:val="24"/>
        </w:rPr>
      </w:pPr>
      <w:r w:rsidRPr="00D729C2">
        <w:rPr>
          <w:rFonts w:ascii="Calibri" w:hAnsi="Calibri" w:cs="Calibri"/>
          <w:b/>
          <w:bCs/>
          <w:i/>
          <w:iCs/>
          <w:sz w:val="24"/>
          <w:szCs w:val="24"/>
        </w:rPr>
        <w:t>All’articolo 62, comma 7, primo periodo, dopo le parole “centrali di committenza” sono aggiunte le parole “e le stazioni uniche appaltanti”.</w:t>
      </w:r>
    </w:p>
    <w:p w14:paraId="45FBB8CC" w14:textId="77777777" w:rsidR="00D729C2" w:rsidRPr="00D729C2"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rFonts w:ascii="Calibri" w:hAnsi="Calibri" w:cs="Calibri"/>
          <w:b/>
          <w:bCs/>
          <w:i/>
          <w:iCs/>
          <w:sz w:val="24"/>
          <w:szCs w:val="24"/>
        </w:rPr>
      </w:pPr>
      <w:r w:rsidRPr="00D729C2">
        <w:rPr>
          <w:rFonts w:ascii="Calibri" w:hAnsi="Calibri" w:cs="Calibri"/>
          <w:b/>
          <w:bCs/>
          <w:i/>
          <w:iCs/>
          <w:sz w:val="24"/>
          <w:szCs w:val="24"/>
        </w:rPr>
        <w:t xml:space="preserve">All’articolo 62, comma 7, dopo la lettera d) è aggiunta la seguente lettera: “e) effettuano gare per conto delle stazioni appaltanti qualificate e non qualificate.” </w:t>
      </w:r>
    </w:p>
    <w:p w14:paraId="64ED4FC9" w14:textId="77777777" w:rsidR="00D729C2" w:rsidRPr="00D729C2"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rFonts w:ascii="Calibri" w:hAnsi="Calibri" w:cs="Calibri"/>
          <w:b/>
          <w:bCs/>
          <w:i/>
          <w:iCs/>
          <w:sz w:val="24"/>
          <w:szCs w:val="24"/>
        </w:rPr>
      </w:pPr>
      <w:r w:rsidRPr="00D729C2">
        <w:rPr>
          <w:rFonts w:ascii="Calibri" w:hAnsi="Calibri" w:cs="Calibri"/>
          <w:b/>
          <w:bCs/>
          <w:i/>
          <w:iCs/>
          <w:sz w:val="24"/>
          <w:szCs w:val="24"/>
        </w:rPr>
        <w:t xml:space="preserve">All’articolo 62, comma 12, dopo la lettera c) è aggiunta la seguente lettera: “d) l’aggiudicazione, se qualificata, e la stipula di contratti relativi a gare effettuate tramite una stazione appaltante qualificata che svolga attività di committenza ausiliaria.” </w:t>
      </w:r>
    </w:p>
    <w:p w14:paraId="7F1ABE83" w14:textId="77777777" w:rsidR="00D729C2" w:rsidRPr="00D729C2"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rFonts w:ascii="Calibri" w:hAnsi="Calibri" w:cs="Calibri"/>
          <w:b/>
          <w:bCs/>
          <w:i/>
          <w:iCs/>
          <w:sz w:val="24"/>
          <w:szCs w:val="24"/>
        </w:rPr>
      </w:pPr>
      <w:r w:rsidRPr="00D729C2">
        <w:rPr>
          <w:rFonts w:ascii="Calibri" w:hAnsi="Calibri" w:cs="Calibri"/>
          <w:b/>
          <w:bCs/>
          <w:i/>
          <w:iCs/>
          <w:sz w:val="24"/>
          <w:szCs w:val="24"/>
        </w:rPr>
        <w:t>All’articolo 62, comma 13, primo periodo, dopo le parole “di centralizzazione” aggiungere le parole “e di ausilio”.</w:t>
      </w:r>
    </w:p>
    <w:p w14:paraId="400BA864" w14:textId="77777777" w:rsidR="00D729C2" w:rsidRPr="00D729C2"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rFonts w:ascii="Calibri" w:hAnsi="Calibri" w:cs="Calibri"/>
          <w:b/>
          <w:bCs/>
          <w:i/>
          <w:iCs/>
          <w:sz w:val="24"/>
          <w:szCs w:val="24"/>
        </w:rPr>
      </w:pPr>
      <w:r w:rsidRPr="00D729C2">
        <w:rPr>
          <w:rFonts w:ascii="Calibri" w:hAnsi="Calibri" w:cs="Calibri"/>
          <w:b/>
          <w:bCs/>
          <w:i/>
          <w:iCs/>
          <w:sz w:val="24"/>
          <w:szCs w:val="24"/>
        </w:rPr>
        <w:t>All’articolo 62, comma 13, ultimo periodo la parola “Esse” è sostituita dalle parole “Le centrali di committenza”.</w:t>
      </w:r>
    </w:p>
    <w:p w14:paraId="1A47E776" w14:textId="77777777" w:rsidR="00D729C2" w:rsidRPr="00D729C2" w:rsidRDefault="00D729C2" w:rsidP="00D729C2">
      <w:pPr>
        <w:pStyle w:val="Paragrafoelenco"/>
        <w:numPr>
          <w:ilvl w:val="0"/>
          <w:numId w:val="6"/>
        </w:numPr>
        <w:pBdr>
          <w:top w:val="single" w:sz="4" w:space="1" w:color="auto"/>
          <w:left w:val="single" w:sz="4" w:space="4" w:color="auto"/>
          <w:bottom w:val="single" w:sz="4" w:space="1" w:color="auto"/>
          <w:right w:val="single" w:sz="4" w:space="4" w:color="auto"/>
        </w:pBdr>
        <w:suppressAutoHyphens w:val="0"/>
        <w:spacing w:line="276" w:lineRule="auto"/>
        <w:ind w:left="1134" w:right="707"/>
        <w:jc w:val="both"/>
        <w:rPr>
          <w:rFonts w:ascii="Calibri" w:hAnsi="Calibri" w:cs="Calibri"/>
          <w:b/>
          <w:bCs/>
          <w:i/>
          <w:iCs/>
          <w:sz w:val="24"/>
          <w:szCs w:val="24"/>
        </w:rPr>
      </w:pPr>
      <w:r w:rsidRPr="00D729C2">
        <w:rPr>
          <w:rFonts w:ascii="Calibri" w:hAnsi="Calibri" w:cs="Calibri"/>
          <w:b/>
          <w:bCs/>
          <w:i/>
          <w:iCs/>
          <w:sz w:val="24"/>
          <w:szCs w:val="24"/>
        </w:rPr>
        <w:t>All’articolo 62, comma 13, dopo l’ultimo periodo è aggiunto il seguente: “le stazioni appaltanti qualificate che svolgono attività di committenza ausiliaria nominano un responsabile del procedimento per le attività di loro competenza.”</w:t>
      </w:r>
    </w:p>
    <w:p w14:paraId="589AD809" w14:textId="77777777" w:rsidR="00D729C2" w:rsidRPr="00D729C2" w:rsidRDefault="00D729C2" w:rsidP="00D729C2">
      <w:pPr>
        <w:pStyle w:val="Paragrafoelenco"/>
        <w:suppressAutoHyphens w:val="0"/>
        <w:spacing w:line="276" w:lineRule="auto"/>
        <w:jc w:val="both"/>
      </w:pPr>
    </w:p>
    <w:p w14:paraId="2100A6CE" w14:textId="080909DB" w:rsidR="00D729C2" w:rsidRPr="00CC503E" w:rsidRDefault="00CC503E" w:rsidP="00D729C2">
      <w:pPr>
        <w:pStyle w:val="Paragrafoelenco"/>
        <w:numPr>
          <w:ilvl w:val="0"/>
          <w:numId w:val="8"/>
        </w:numPr>
        <w:suppressAutoHyphens w:val="0"/>
        <w:spacing w:line="276" w:lineRule="auto"/>
        <w:jc w:val="both"/>
      </w:pPr>
      <w:r>
        <w:rPr>
          <w:rFonts w:ascii="Calibri" w:hAnsi="Calibri" w:cs="Calibri"/>
          <w:sz w:val="24"/>
          <w:szCs w:val="24"/>
        </w:rPr>
        <w:t xml:space="preserve">Occorre </w:t>
      </w:r>
      <w:r w:rsidR="00D729C2">
        <w:rPr>
          <w:rFonts w:ascii="Calibri" w:hAnsi="Calibri" w:cs="Calibri"/>
          <w:sz w:val="24"/>
          <w:szCs w:val="24"/>
        </w:rPr>
        <w:t>favorire e incentivare</w:t>
      </w:r>
      <w:r>
        <w:rPr>
          <w:rFonts w:ascii="Calibri" w:hAnsi="Calibri" w:cs="Calibri"/>
          <w:sz w:val="24"/>
          <w:szCs w:val="24"/>
        </w:rPr>
        <w:t>,</w:t>
      </w:r>
      <w:r w:rsidR="00D729C2">
        <w:rPr>
          <w:rFonts w:ascii="Calibri" w:hAnsi="Calibri" w:cs="Calibri"/>
          <w:sz w:val="24"/>
          <w:szCs w:val="24"/>
        </w:rPr>
        <w:t xml:space="preserve"> </w:t>
      </w:r>
      <w:r w:rsidRPr="00CC503E">
        <w:rPr>
          <w:rFonts w:ascii="Calibri" w:hAnsi="Calibri" w:cs="Calibri"/>
          <w:b/>
          <w:bCs/>
          <w:sz w:val="24"/>
          <w:szCs w:val="24"/>
        </w:rPr>
        <w:t>attraverso l’opportuno utilizzo degli incentivi tecnici</w:t>
      </w:r>
      <w:r w:rsidR="00D729C2" w:rsidRPr="00CC503E">
        <w:rPr>
          <w:rFonts w:ascii="Calibri" w:hAnsi="Calibri" w:cs="Calibri"/>
          <w:b/>
          <w:bCs/>
          <w:sz w:val="24"/>
          <w:szCs w:val="24"/>
        </w:rPr>
        <w:t>, la</w:t>
      </w:r>
      <w:r w:rsidR="00D729C2">
        <w:rPr>
          <w:rFonts w:ascii="Calibri" w:hAnsi="Calibri" w:cs="Calibri"/>
          <w:b/>
          <w:bCs/>
          <w:sz w:val="24"/>
          <w:szCs w:val="24"/>
        </w:rPr>
        <w:t xml:space="preserve"> realizzazione di una rete qualificata ed efficiente di stazioni uniche appaltanti provinciali e metropolitane a servizio degli enti locali del loro territorio. </w:t>
      </w:r>
    </w:p>
    <w:p w14:paraId="12945DFB" w14:textId="77777777" w:rsidR="00CC503E" w:rsidRDefault="00CC503E" w:rsidP="00CC503E">
      <w:pPr>
        <w:pStyle w:val="Paragrafoelenco"/>
        <w:suppressAutoHyphens w:val="0"/>
        <w:spacing w:line="276" w:lineRule="auto"/>
        <w:ind w:left="1276" w:hanging="425"/>
        <w:jc w:val="both"/>
      </w:pPr>
    </w:p>
    <w:p w14:paraId="10C2B9AC" w14:textId="6C175B0F" w:rsidR="00D729C2" w:rsidRDefault="00CC503E" w:rsidP="00CC503E">
      <w:pPr>
        <w:pStyle w:val="Paragrafoelenco"/>
        <w:pBdr>
          <w:top w:val="single" w:sz="4" w:space="1" w:color="auto"/>
          <w:left w:val="single" w:sz="4" w:space="4" w:color="auto"/>
          <w:bottom w:val="single" w:sz="4" w:space="1" w:color="auto"/>
          <w:right w:val="single" w:sz="4" w:space="4" w:color="auto"/>
        </w:pBdr>
        <w:suppressAutoHyphens w:val="0"/>
        <w:spacing w:line="276" w:lineRule="auto"/>
        <w:ind w:left="1276" w:right="707" w:hanging="425"/>
        <w:jc w:val="both"/>
        <w:rPr>
          <w:rFonts w:ascii="Calibri" w:hAnsi="Calibri" w:cs="Calibri"/>
          <w:i/>
          <w:iCs/>
          <w:sz w:val="24"/>
          <w:szCs w:val="24"/>
        </w:rPr>
      </w:pPr>
      <w:r w:rsidRPr="00CC503E">
        <w:t>•</w:t>
      </w:r>
      <w:r w:rsidRPr="00CC503E">
        <w:rPr>
          <w:b/>
          <w:bCs/>
        </w:rPr>
        <w:tab/>
      </w:r>
      <w:r w:rsidRPr="00CC503E">
        <w:rPr>
          <w:rFonts w:ascii="Calibri" w:hAnsi="Calibri" w:cs="Calibri"/>
          <w:b/>
          <w:bCs/>
          <w:i/>
          <w:iCs/>
          <w:sz w:val="24"/>
          <w:szCs w:val="24"/>
        </w:rPr>
        <w:t xml:space="preserve">All’articolo 45, comma 8, primo periodo </w:t>
      </w:r>
      <w:r w:rsidR="003B421F">
        <w:rPr>
          <w:rFonts w:ascii="Calibri" w:hAnsi="Calibri" w:cs="Calibri"/>
          <w:b/>
          <w:bCs/>
          <w:i/>
          <w:iCs/>
          <w:sz w:val="24"/>
          <w:szCs w:val="24"/>
        </w:rPr>
        <w:t xml:space="preserve">le parole </w:t>
      </w:r>
      <w:r w:rsidRPr="00CC503E">
        <w:rPr>
          <w:rFonts w:ascii="Calibri" w:hAnsi="Calibri" w:cs="Calibri"/>
          <w:b/>
          <w:bCs/>
          <w:i/>
          <w:iCs/>
          <w:sz w:val="24"/>
          <w:szCs w:val="24"/>
        </w:rPr>
        <w:t>“possono</w:t>
      </w:r>
      <w:r w:rsidR="003B421F">
        <w:rPr>
          <w:rFonts w:ascii="Calibri" w:hAnsi="Calibri" w:cs="Calibri"/>
          <w:b/>
          <w:bCs/>
          <w:i/>
          <w:iCs/>
          <w:sz w:val="24"/>
          <w:szCs w:val="24"/>
        </w:rPr>
        <w:t xml:space="preserve"> destinare</w:t>
      </w:r>
      <w:r w:rsidRPr="00CC503E">
        <w:rPr>
          <w:rFonts w:ascii="Calibri" w:hAnsi="Calibri" w:cs="Calibri"/>
          <w:b/>
          <w:bCs/>
          <w:i/>
          <w:iCs/>
          <w:sz w:val="24"/>
          <w:szCs w:val="24"/>
        </w:rPr>
        <w:t xml:space="preserve">” </w:t>
      </w:r>
      <w:r w:rsidR="003B421F">
        <w:rPr>
          <w:rFonts w:ascii="Calibri" w:hAnsi="Calibri" w:cs="Calibri"/>
          <w:b/>
          <w:bCs/>
          <w:i/>
          <w:iCs/>
          <w:sz w:val="24"/>
          <w:szCs w:val="24"/>
        </w:rPr>
        <w:t xml:space="preserve">sono sostituite dalla parola </w:t>
      </w:r>
      <w:r w:rsidRPr="00CC503E">
        <w:rPr>
          <w:rFonts w:ascii="Calibri" w:hAnsi="Calibri" w:cs="Calibri"/>
          <w:b/>
          <w:bCs/>
          <w:i/>
          <w:iCs/>
          <w:sz w:val="24"/>
          <w:szCs w:val="24"/>
        </w:rPr>
        <w:t>“</w:t>
      </w:r>
      <w:r w:rsidR="003B421F">
        <w:rPr>
          <w:rFonts w:ascii="Calibri" w:hAnsi="Calibri" w:cs="Calibri"/>
          <w:b/>
          <w:bCs/>
          <w:i/>
          <w:iCs/>
          <w:sz w:val="24"/>
          <w:szCs w:val="24"/>
        </w:rPr>
        <w:t>destinano</w:t>
      </w:r>
      <w:r w:rsidRPr="00CC503E">
        <w:rPr>
          <w:rFonts w:ascii="Calibri" w:hAnsi="Calibri" w:cs="Calibri"/>
          <w:b/>
          <w:bCs/>
          <w:i/>
          <w:iCs/>
          <w:sz w:val="24"/>
          <w:szCs w:val="24"/>
        </w:rPr>
        <w:t>”.</w:t>
      </w:r>
    </w:p>
    <w:p w14:paraId="74E0CC2B" w14:textId="77777777" w:rsidR="00CC503E" w:rsidRPr="00D729C2" w:rsidRDefault="00CC503E" w:rsidP="00CC503E">
      <w:pPr>
        <w:pStyle w:val="Paragrafoelenco"/>
        <w:suppressAutoHyphens w:val="0"/>
        <w:spacing w:line="276" w:lineRule="auto"/>
        <w:ind w:left="1276" w:hanging="425"/>
        <w:jc w:val="both"/>
      </w:pPr>
    </w:p>
    <w:p w14:paraId="3F8D7B7B" w14:textId="459FDD7C" w:rsidR="00D729C2" w:rsidRPr="00421D37" w:rsidRDefault="00547758" w:rsidP="00D729C2">
      <w:pPr>
        <w:pStyle w:val="Paragrafoelenco"/>
        <w:numPr>
          <w:ilvl w:val="0"/>
          <w:numId w:val="8"/>
        </w:numPr>
        <w:suppressAutoHyphens w:val="0"/>
        <w:spacing w:line="276" w:lineRule="auto"/>
        <w:contextualSpacing w:val="0"/>
        <w:jc w:val="both"/>
      </w:pPr>
      <w:r>
        <w:rPr>
          <w:rFonts w:ascii="Calibri" w:hAnsi="Calibri" w:cs="Calibri"/>
          <w:sz w:val="24"/>
          <w:szCs w:val="24"/>
        </w:rPr>
        <w:t xml:space="preserve">Nella prospettiva della semplificazione delle procedure per gli appalti di minore importo, </w:t>
      </w:r>
      <w:r>
        <w:rPr>
          <w:rFonts w:ascii="Calibri" w:hAnsi="Calibri" w:cs="Calibri"/>
          <w:b/>
          <w:bCs/>
          <w:sz w:val="24"/>
          <w:szCs w:val="24"/>
        </w:rPr>
        <w:t>per gli appalti di importo inferiore alle soglie comunitarie è possibile prevedere un utilizzo più flessibile del principio di rotazione.</w:t>
      </w:r>
    </w:p>
    <w:p w14:paraId="1D8842DA" w14:textId="77777777" w:rsidR="00D729C2" w:rsidRPr="00E31820" w:rsidRDefault="00D729C2" w:rsidP="00D729C2">
      <w:pPr>
        <w:numPr>
          <w:ilvl w:val="0"/>
          <w:numId w:val="9"/>
        </w:numPr>
        <w:pBdr>
          <w:top w:val="single" w:sz="4" w:space="1" w:color="auto"/>
          <w:left w:val="single" w:sz="4" w:space="4" w:color="auto"/>
          <w:bottom w:val="single" w:sz="4" w:space="1" w:color="auto"/>
          <w:right w:val="single" w:sz="4" w:space="4" w:color="auto"/>
        </w:pBdr>
        <w:tabs>
          <w:tab w:val="clear" w:pos="720"/>
        </w:tabs>
        <w:suppressAutoHyphens w:val="0"/>
        <w:spacing w:line="276" w:lineRule="auto"/>
        <w:ind w:left="1134" w:right="707"/>
        <w:jc w:val="both"/>
        <w:rPr>
          <w:i/>
          <w:iCs/>
        </w:rPr>
      </w:pPr>
      <w:r w:rsidRPr="00E31820">
        <w:rPr>
          <w:rFonts w:ascii="Calibri" w:hAnsi="Calibri" w:cs="Calibri"/>
          <w:b/>
          <w:bCs/>
          <w:i/>
          <w:iCs/>
          <w:sz w:val="24"/>
          <w:szCs w:val="24"/>
        </w:rPr>
        <w:t xml:space="preserve">All’articolo 49, comma 5, le parole “lettere c), d) ed </w:t>
      </w:r>
      <w:proofErr w:type="gramStart"/>
      <w:r w:rsidRPr="00E31820">
        <w:rPr>
          <w:rFonts w:ascii="Calibri" w:hAnsi="Calibri" w:cs="Calibri"/>
          <w:b/>
          <w:bCs/>
          <w:i/>
          <w:iCs/>
          <w:sz w:val="24"/>
          <w:szCs w:val="24"/>
        </w:rPr>
        <w:t>e</w:t>
      </w:r>
      <w:proofErr w:type="gramEnd"/>
      <w:r w:rsidRPr="00E31820">
        <w:rPr>
          <w:rFonts w:ascii="Calibri" w:hAnsi="Calibri" w:cs="Calibri"/>
          <w:b/>
          <w:bCs/>
          <w:i/>
          <w:iCs/>
          <w:sz w:val="24"/>
          <w:szCs w:val="24"/>
        </w:rPr>
        <w:t>)” sono soppresse</w:t>
      </w:r>
      <w:r w:rsidRPr="00E31820">
        <w:rPr>
          <w:rFonts w:ascii="Calibri" w:hAnsi="Calibri" w:cs="Calibri"/>
          <w:i/>
          <w:iCs/>
          <w:sz w:val="24"/>
          <w:szCs w:val="24"/>
        </w:rPr>
        <w:t>.</w:t>
      </w:r>
    </w:p>
    <w:p w14:paraId="7DFFDD52" w14:textId="77777777" w:rsidR="00CC503E" w:rsidRDefault="00CC503E">
      <w:pPr>
        <w:pStyle w:val="Paragrafoelenco"/>
        <w:suppressAutoHyphens w:val="0"/>
        <w:spacing w:line="276" w:lineRule="auto"/>
        <w:ind w:left="0"/>
        <w:jc w:val="both"/>
        <w:rPr>
          <w:rFonts w:ascii="Calibri" w:hAnsi="Calibri" w:cs="Calibri"/>
          <w:sz w:val="24"/>
          <w:szCs w:val="24"/>
        </w:rPr>
      </w:pPr>
    </w:p>
    <w:p w14:paraId="7E1ABFE4" w14:textId="5729E9EC" w:rsidR="00546B83" w:rsidRDefault="00CC503E" w:rsidP="00CC503E">
      <w:pPr>
        <w:pStyle w:val="Paragrafoelenco"/>
        <w:suppressAutoHyphens w:val="0"/>
        <w:spacing w:line="276" w:lineRule="auto"/>
        <w:ind w:left="0"/>
        <w:contextualSpacing w:val="0"/>
        <w:jc w:val="both"/>
        <w:rPr>
          <w:rFonts w:ascii="Calibri" w:hAnsi="Calibri" w:cs="Calibri"/>
          <w:b/>
          <w:bCs/>
          <w:i/>
          <w:iCs/>
          <w:sz w:val="24"/>
          <w:szCs w:val="24"/>
        </w:rPr>
      </w:pPr>
      <w:r>
        <w:rPr>
          <w:rFonts w:ascii="Calibri" w:hAnsi="Calibri" w:cs="Calibri"/>
          <w:sz w:val="24"/>
          <w:szCs w:val="24"/>
        </w:rPr>
        <w:t xml:space="preserve">Relativamente agli allegati, per la qualificazione delle Stazioni Uniche Appaltanti provinciali e metropolitane previste dall’articolo 1, comma 88, della legge 56/14, </w:t>
      </w:r>
      <w:r>
        <w:rPr>
          <w:rFonts w:ascii="Calibri" w:hAnsi="Calibri" w:cs="Calibri"/>
          <w:b/>
          <w:bCs/>
          <w:sz w:val="24"/>
          <w:szCs w:val="24"/>
        </w:rPr>
        <w:t xml:space="preserve">tra i requisiti richiesti per la qualificazione nelle linee guida ANAC, occorrerà prevedere anche il numero degli enti convenzionati e il lavoro svolto dalle SUA per conto di altri enti. </w:t>
      </w:r>
      <w:r>
        <w:rPr>
          <w:rFonts w:ascii="Calibri" w:hAnsi="Calibri" w:cs="Calibri"/>
          <w:sz w:val="24"/>
          <w:szCs w:val="24"/>
        </w:rPr>
        <w:t xml:space="preserve">Nell’esperienza delle stazioni uniche appaltanti provinciali c’è inoltre una divisione delle responsabilità tra la gestione della programmazione e aggiudicazione degli affidamenti da parte delle Province e la firma ed esecuzione dei contratti da parte dei Comuni e degli altri enti locali convenzionati. </w:t>
      </w:r>
      <w:r>
        <w:rPr>
          <w:rFonts w:ascii="Calibri" w:hAnsi="Calibri" w:cs="Calibri"/>
          <w:b/>
          <w:bCs/>
          <w:sz w:val="24"/>
          <w:szCs w:val="24"/>
        </w:rPr>
        <w:t>Relativamente ai requisiti per la qualificazione occorre tener conto di questa realtà e ragionare in modo diverso rispetto alla fase della programmazione ed aggiudicazione e alla fase di esecuzione dei contratti</w:t>
      </w:r>
      <w:r>
        <w:rPr>
          <w:rFonts w:ascii="Calibri" w:hAnsi="Calibri" w:cs="Calibri"/>
          <w:b/>
          <w:bCs/>
          <w:i/>
          <w:iCs/>
          <w:sz w:val="24"/>
          <w:szCs w:val="24"/>
        </w:rPr>
        <w:t>.</w:t>
      </w:r>
    </w:p>
    <w:p w14:paraId="0B48CBA1" w14:textId="77777777" w:rsidR="00E31820" w:rsidRDefault="00CC503E" w:rsidP="00CC503E">
      <w:pPr>
        <w:pStyle w:val="Paragrafoelenco"/>
        <w:suppressAutoHyphens w:val="0"/>
        <w:spacing w:line="276" w:lineRule="auto"/>
        <w:ind w:left="0"/>
        <w:contextualSpacing w:val="0"/>
        <w:jc w:val="both"/>
        <w:rPr>
          <w:rFonts w:ascii="Calibri" w:hAnsi="Calibri" w:cs="Calibri"/>
          <w:sz w:val="24"/>
          <w:szCs w:val="24"/>
        </w:rPr>
      </w:pPr>
      <w:r>
        <w:rPr>
          <w:rFonts w:ascii="Calibri" w:hAnsi="Calibri" w:cs="Calibri"/>
          <w:sz w:val="24"/>
          <w:szCs w:val="24"/>
        </w:rPr>
        <w:t xml:space="preserve">Una ultima questione riguarda l’impianto del </w:t>
      </w:r>
      <w:r w:rsidRPr="00CC503E">
        <w:rPr>
          <w:rFonts w:ascii="Calibri" w:hAnsi="Calibri" w:cs="Calibri"/>
          <w:b/>
          <w:bCs/>
          <w:sz w:val="24"/>
          <w:szCs w:val="24"/>
        </w:rPr>
        <w:t>sistema sanzionatorio</w:t>
      </w:r>
      <w:r>
        <w:rPr>
          <w:rFonts w:ascii="Calibri" w:hAnsi="Calibri" w:cs="Calibri"/>
          <w:sz w:val="24"/>
          <w:szCs w:val="24"/>
        </w:rPr>
        <w:t xml:space="preserve"> previsto nel nuovo codice che, espressamente, basa la riorganizzazione della gestione degli appalti sui principi di fiducia, risultato trasparenza, digitalizzazione, qualificazione dele stazioni appaltanti e degli operatori.</w:t>
      </w:r>
    </w:p>
    <w:p w14:paraId="6FA25DC6" w14:textId="0F39E63F" w:rsidR="00CC503E" w:rsidRDefault="00CC503E" w:rsidP="00CC503E">
      <w:pPr>
        <w:pStyle w:val="Paragrafoelenco"/>
        <w:numPr>
          <w:ilvl w:val="0"/>
          <w:numId w:val="8"/>
        </w:numPr>
        <w:suppressAutoHyphens w:val="0"/>
        <w:spacing w:line="276" w:lineRule="auto"/>
        <w:contextualSpacing w:val="0"/>
        <w:jc w:val="both"/>
        <w:rPr>
          <w:rFonts w:ascii="Calibri" w:hAnsi="Calibri" w:cs="Calibri"/>
          <w:sz w:val="24"/>
          <w:szCs w:val="24"/>
        </w:rPr>
      </w:pPr>
      <w:r w:rsidRPr="00E31820">
        <w:rPr>
          <w:rFonts w:ascii="Calibri" w:hAnsi="Calibri" w:cs="Calibri"/>
          <w:b/>
          <w:bCs/>
          <w:sz w:val="24"/>
          <w:szCs w:val="24"/>
        </w:rPr>
        <w:t>La vigilanza sul sistema degli appalti deve essere coerente con</w:t>
      </w:r>
      <w:r w:rsidR="00E31820" w:rsidRPr="00E31820">
        <w:rPr>
          <w:rFonts w:ascii="Calibri" w:hAnsi="Calibri" w:cs="Calibri"/>
          <w:b/>
          <w:bCs/>
          <w:sz w:val="24"/>
          <w:szCs w:val="24"/>
        </w:rPr>
        <w:t xml:space="preserve"> i principi generali previsti nella parte prima del codice e</w:t>
      </w:r>
      <w:r w:rsidR="00E31820">
        <w:rPr>
          <w:rFonts w:ascii="Calibri" w:hAnsi="Calibri" w:cs="Calibri"/>
          <w:b/>
          <w:bCs/>
          <w:sz w:val="24"/>
          <w:szCs w:val="24"/>
        </w:rPr>
        <w:t xml:space="preserve">d essere riferita non ai singoli operatori ma alle strutture che gestiscono gli appalti, </w:t>
      </w:r>
      <w:r w:rsidRPr="00E31820">
        <w:rPr>
          <w:rFonts w:ascii="Calibri" w:hAnsi="Calibri" w:cs="Calibri"/>
          <w:b/>
          <w:bCs/>
          <w:sz w:val="24"/>
          <w:szCs w:val="24"/>
        </w:rPr>
        <w:t>semplifica</w:t>
      </w:r>
      <w:r w:rsidR="00E31820" w:rsidRPr="00E31820">
        <w:rPr>
          <w:rFonts w:ascii="Calibri" w:hAnsi="Calibri" w:cs="Calibri"/>
          <w:b/>
          <w:bCs/>
          <w:sz w:val="24"/>
          <w:szCs w:val="24"/>
        </w:rPr>
        <w:t>ndo</w:t>
      </w:r>
      <w:r w:rsidRPr="00E31820">
        <w:rPr>
          <w:rFonts w:ascii="Calibri" w:hAnsi="Calibri" w:cs="Calibri"/>
          <w:b/>
          <w:bCs/>
          <w:sz w:val="24"/>
          <w:szCs w:val="24"/>
        </w:rPr>
        <w:t xml:space="preserve"> </w:t>
      </w:r>
      <w:r w:rsidR="00E31820" w:rsidRPr="00E31820">
        <w:rPr>
          <w:rFonts w:ascii="Calibri" w:hAnsi="Calibri" w:cs="Calibri"/>
          <w:b/>
          <w:bCs/>
          <w:sz w:val="24"/>
          <w:szCs w:val="24"/>
        </w:rPr>
        <w:t xml:space="preserve">coerentemente </w:t>
      </w:r>
      <w:r w:rsidRPr="00E31820">
        <w:rPr>
          <w:rFonts w:ascii="Calibri" w:hAnsi="Calibri" w:cs="Calibri"/>
          <w:b/>
          <w:bCs/>
          <w:sz w:val="24"/>
          <w:szCs w:val="24"/>
        </w:rPr>
        <w:t>il</w:t>
      </w:r>
      <w:r w:rsidR="00E31820" w:rsidRPr="00E31820">
        <w:rPr>
          <w:rFonts w:ascii="Calibri" w:hAnsi="Calibri" w:cs="Calibri"/>
          <w:b/>
          <w:bCs/>
          <w:sz w:val="24"/>
          <w:szCs w:val="24"/>
        </w:rPr>
        <w:t xml:space="preserve"> </w:t>
      </w:r>
      <w:r w:rsidRPr="00E31820">
        <w:rPr>
          <w:rFonts w:ascii="Calibri" w:hAnsi="Calibri" w:cs="Calibri"/>
          <w:b/>
          <w:bCs/>
          <w:sz w:val="24"/>
          <w:szCs w:val="24"/>
        </w:rPr>
        <w:t>sistema sanzionatorio</w:t>
      </w:r>
      <w:r w:rsidR="00E31820">
        <w:rPr>
          <w:rFonts w:ascii="Calibri" w:hAnsi="Calibri" w:cs="Calibri"/>
          <w:sz w:val="24"/>
          <w:szCs w:val="24"/>
        </w:rPr>
        <w:t>.</w:t>
      </w:r>
    </w:p>
    <w:p w14:paraId="5842BD74" w14:textId="77777777" w:rsidR="00E31820" w:rsidRDefault="00E31820" w:rsidP="000D6CA0">
      <w:pPr>
        <w:pStyle w:val="Paragrafoelenco"/>
        <w:numPr>
          <w:ilvl w:val="1"/>
          <w:numId w:val="8"/>
        </w:numPr>
        <w:pBdr>
          <w:top w:val="single" w:sz="4" w:space="1" w:color="auto"/>
          <w:left w:val="single" w:sz="4" w:space="4" w:color="auto"/>
          <w:bottom w:val="single" w:sz="4" w:space="1" w:color="auto"/>
          <w:right w:val="single" w:sz="4" w:space="4" w:color="auto"/>
        </w:pBdr>
        <w:suppressAutoHyphens w:val="0"/>
        <w:spacing w:line="276" w:lineRule="auto"/>
        <w:ind w:left="1134"/>
        <w:jc w:val="both"/>
        <w:rPr>
          <w:rFonts w:ascii="Calibri" w:hAnsi="Calibri" w:cs="Calibri"/>
          <w:sz w:val="24"/>
          <w:szCs w:val="24"/>
        </w:rPr>
      </w:pPr>
      <w:r w:rsidRPr="00E31820">
        <w:rPr>
          <w:rFonts w:ascii="Calibri" w:hAnsi="Calibri" w:cs="Calibri"/>
          <w:b/>
          <w:bCs/>
          <w:i/>
          <w:iCs/>
          <w:sz w:val="24"/>
          <w:szCs w:val="24"/>
        </w:rPr>
        <w:t>All’articolo 222, comma 3, lettera a) sono soppresse le parole “nell’ambito dell’attività di vigilanza nei settori di cui alle lettere b), f), l), m) e in tutti gli altri casi previsti dal codice può irrogare per le violazioni accertate, nel rispetto dei principi di cui alla legge 24 novembre 1981, n. 689 e secondo il proprio regolamento, sanzioni amministrative pecuniarie entro il limite minimo di euro 500,00 e il limite massimo di euro 50.000,00. La sottoposizione a sanzioni pecuniarie e l’eventuale recidiva sono valutate</w:t>
      </w:r>
      <w:r>
        <w:rPr>
          <w:rFonts w:ascii="Calibri" w:hAnsi="Calibri" w:cs="Calibri"/>
          <w:sz w:val="24"/>
          <w:szCs w:val="24"/>
        </w:rPr>
        <w:t>”.</w:t>
      </w:r>
    </w:p>
    <w:p w14:paraId="16A7244B" w14:textId="7FE2F002" w:rsidR="00CC503E" w:rsidRPr="00E31820" w:rsidRDefault="00E31820" w:rsidP="000D6CA0">
      <w:pPr>
        <w:pStyle w:val="Paragrafoelenco"/>
        <w:numPr>
          <w:ilvl w:val="1"/>
          <w:numId w:val="8"/>
        </w:numPr>
        <w:pBdr>
          <w:top w:val="single" w:sz="4" w:space="1" w:color="auto"/>
          <w:left w:val="single" w:sz="4" w:space="4" w:color="auto"/>
          <w:bottom w:val="single" w:sz="4" w:space="1" w:color="auto"/>
          <w:right w:val="single" w:sz="4" w:space="4" w:color="auto"/>
        </w:pBdr>
        <w:suppressAutoHyphens w:val="0"/>
        <w:spacing w:line="276" w:lineRule="auto"/>
        <w:ind w:left="1134"/>
        <w:jc w:val="both"/>
        <w:rPr>
          <w:rFonts w:ascii="Calibri" w:hAnsi="Calibri" w:cs="Calibri"/>
          <w:sz w:val="24"/>
          <w:szCs w:val="24"/>
        </w:rPr>
      </w:pPr>
      <w:r w:rsidRPr="00E31820">
        <w:rPr>
          <w:rFonts w:ascii="Calibri" w:hAnsi="Calibri" w:cs="Calibri"/>
          <w:b/>
          <w:bCs/>
          <w:i/>
          <w:iCs/>
          <w:sz w:val="24"/>
          <w:szCs w:val="24"/>
        </w:rPr>
        <w:t xml:space="preserve">All’articolo 222, comma </w:t>
      </w:r>
      <w:r>
        <w:rPr>
          <w:rFonts w:ascii="Calibri" w:hAnsi="Calibri" w:cs="Calibri"/>
          <w:b/>
          <w:bCs/>
          <w:i/>
          <w:iCs/>
          <w:sz w:val="24"/>
          <w:szCs w:val="24"/>
        </w:rPr>
        <w:t>9</w:t>
      </w:r>
      <w:r w:rsidRPr="00E31820">
        <w:rPr>
          <w:rFonts w:ascii="Calibri" w:hAnsi="Calibri" w:cs="Calibri"/>
          <w:b/>
          <w:bCs/>
          <w:i/>
          <w:iCs/>
          <w:sz w:val="24"/>
          <w:szCs w:val="24"/>
        </w:rPr>
        <w:t xml:space="preserve">, </w:t>
      </w:r>
      <w:r>
        <w:rPr>
          <w:rFonts w:ascii="Calibri" w:hAnsi="Calibri" w:cs="Calibri"/>
          <w:b/>
          <w:bCs/>
          <w:i/>
          <w:iCs/>
          <w:sz w:val="24"/>
          <w:szCs w:val="24"/>
        </w:rPr>
        <w:t xml:space="preserve">sostituire i periodi 2, 3, 4 con il seguente “L’inadempimento dell’obbligo è sanzionato ai sensi del successivo comma </w:t>
      </w:r>
      <w:r w:rsidR="000D6CA0">
        <w:rPr>
          <w:rFonts w:ascii="Calibri" w:hAnsi="Calibri" w:cs="Calibri"/>
          <w:b/>
          <w:bCs/>
          <w:i/>
          <w:iCs/>
          <w:sz w:val="24"/>
          <w:szCs w:val="24"/>
        </w:rPr>
        <w:t>13.”</w:t>
      </w:r>
      <w:r>
        <w:rPr>
          <w:rFonts w:ascii="Calibri" w:hAnsi="Calibri" w:cs="Calibri"/>
          <w:b/>
          <w:bCs/>
          <w:i/>
          <w:iCs/>
          <w:sz w:val="24"/>
          <w:szCs w:val="24"/>
        </w:rPr>
        <w:t xml:space="preserve"> </w:t>
      </w:r>
    </w:p>
    <w:p w14:paraId="634094EC" w14:textId="77777777" w:rsidR="00546B83" w:rsidRDefault="00547758" w:rsidP="00CC503E">
      <w:pPr>
        <w:suppressAutoHyphens w:val="0"/>
        <w:spacing w:line="276" w:lineRule="auto"/>
        <w:jc w:val="both"/>
      </w:pPr>
      <w:r>
        <w:rPr>
          <w:rFonts w:ascii="Calibri" w:hAnsi="Calibri" w:cs="Calibri"/>
          <w:sz w:val="24"/>
          <w:szCs w:val="24"/>
        </w:rPr>
        <w:t xml:space="preserve">L’accoglimento da parte del Governo di queste proposte favorirebbe il </w:t>
      </w:r>
      <w:r>
        <w:rPr>
          <w:rFonts w:ascii="Calibri" w:hAnsi="Calibri" w:cs="Calibri"/>
          <w:sz w:val="24"/>
          <w:szCs w:val="24"/>
        </w:rPr>
        <w:t>processo di costituzione di una rete di centrali di committenza qualificate necessaria al raggiungimento dell’obiettivo della riduzione del numero e della qualificazione delle stazioni appaltanti su cui l’Italia si è impegnata con la UE nell’ambito del PNR</w:t>
      </w:r>
      <w:r>
        <w:rPr>
          <w:rFonts w:ascii="Calibri" w:hAnsi="Calibri" w:cs="Calibri"/>
          <w:sz w:val="24"/>
          <w:szCs w:val="24"/>
        </w:rPr>
        <w:t>R.</w:t>
      </w:r>
    </w:p>
    <w:p w14:paraId="2DA8E6F8" w14:textId="77777777" w:rsidR="00546B83" w:rsidRDefault="00546B83">
      <w:pPr>
        <w:pStyle w:val="Paragrafoelenco"/>
        <w:suppressAutoHyphens w:val="0"/>
        <w:spacing w:line="276" w:lineRule="auto"/>
        <w:contextualSpacing w:val="0"/>
        <w:jc w:val="both"/>
        <w:rPr>
          <w:rFonts w:ascii="Calibri" w:hAnsi="Calibri"/>
          <w:sz w:val="24"/>
          <w:szCs w:val="24"/>
        </w:rPr>
      </w:pPr>
    </w:p>
    <w:p w14:paraId="43B17E4D" w14:textId="77777777" w:rsidR="00546B83" w:rsidRDefault="00547758">
      <w:pPr>
        <w:pStyle w:val="Paragrafoelenco"/>
        <w:numPr>
          <w:ilvl w:val="0"/>
          <w:numId w:val="3"/>
        </w:numPr>
        <w:suppressAutoHyphens w:val="0"/>
        <w:spacing w:line="276" w:lineRule="auto"/>
        <w:jc w:val="both"/>
      </w:pPr>
      <w:r>
        <w:rPr>
          <w:rFonts w:ascii="Calibri" w:hAnsi="Calibri" w:cs="Calibri"/>
          <w:b/>
          <w:bCs/>
          <w:i/>
          <w:iCs/>
          <w:sz w:val="24"/>
          <w:szCs w:val="24"/>
        </w:rPr>
        <w:t>Gli investimenti necessari per la buona applicazione della nuova disciplina</w:t>
      </w:r>
    </w:p>
    <w:p w14:paraId="0B473162" w14:textId="77777777" w:rsidR="00546B83" w:rsidRDefault="00547758">
      <w:pPr>
        <w:suppressAutoHyphens w:val="0"/>
        <w:spacing w:line="276" w:lineRule="auto"/>
        <w:jc w:val="both"/>
      </w:pPr>
      <w:r>
        <w:rPr>
          <w:rFonts w:ascii="Calibri" w:hAnsi="Calibri" w:cs="Calibri"/>
          <w:b/>
          <w:bCs/>
          <w:sz w:val="24"/>
          <w:szCs w:val="24"/>
        </w:rPr>
        <w:t>Il nuovo codice dei contratti pubblici, in particolare rispetto al tema della qualificazione delle stazioni appaltanti,</w:t>
      </w:r>
      <w:r>
        <w:rPr>
          <w:rFonts w:ascii="Calibri" w:hAnsi="Calibri" w:cs="Calibri"/>
          <w:sz w:val="24"/>
          <w:szCs w:val="24"/>
        </w:rPr>
        <w:t xml:space="preserve"> deve essere accompagnato da un’azione di implementazione</w:t>
      </w:r>
      <w:r>
        <w:rPr>
          <w:rFonts w:ascii="Calibri" w:hAnsi="Calibri" w:cs="Calibri"/>
          <w:sz w:val="24"/>
          <w:szCs w:val="24"/>
        </w:rPr>
        <w:t xml:space="preserve"> e da una serie di investimenti mirati che consentano alle pubbliche amministrazioni di assimilare la nuova disciplina e di applicarla nel modo migliore.</w:t>
      </w:r>
    </w:p>
    <w:p w14:paraId="453E352C" w14:textId="77777777" w:rsidR="00546B83" w:rsidRDefault="00547758">
      <w:pPr>
        <w:pStyle w:val="Paragrafoelenco"/>
        <w:suppressAutoHyphens w:val="0"/>
        <w:spacing w:line="276" w:lineRule="auto"/>
        <w:ind w:left="0"/>
        <w:contextualSpacing w:val="0"/>
        <w:jc w:val="both"/>
      </w:pPr>
      <w:r>
        <w:rPr>
          <w:rFonts w:ascii="Calibri" w:hAnsi="Calibri" w:cs="Calibri"/>
          <w:sz w:val="24"/>
          <w:szCs w:val="24"/>
        </w:rPr>
        <w:t xml:space="preserve">Per le </w:t>
      </w:r>
      <w:r>
        <w:rPr>
          <w:rFonts w:ascii="Calibri" w:hAnsi="Calibri" w:cs="Calibri"/>
          <w:b/>
          <w:bCs/>
          <w:sz w:val="24"/>
          <w:szCs w:val="24"/>
        </w:rPr>
        <w:t>strutture amministrative che gestiscono le stazioni appaltanti e le centrali di committenza deg</w:t>
      </w:r>
      <w:r>
        <w:rPr>
          <w:rFonts w:ascii="Calibri" w:hAnsi="Calibri" w:cs="Calibri"/>
          <w:b/>
          <w:bCs/>
          <w:sz w:val="24"/>
          <w:szCs w:val="24"/>
        </w:rPr>
        <w:t>li enti locali</w:t>
      </w:r>
      <w:r>
        <w:rPr>
          <w:rFonts w:ascii="Calibri" w:hAnsi="Calibri" w:cs="Calibri"/>
          <w:sz w:val="24"/>
          <w:szCs w:val="24"/>
        </w:rPr>
        <w:t xml:space="preserve"> occorre avere un approccio flessibile che tenga conto della </w:t>
      </w:r>
      <w:r>
        <w:rPr>
          <w:rFonts w:ascii="Calibri" w:hAnsi="Calibri" w:cs="Calibri"/>
          <w:b/>
          <w:bCs/>
          <w:sz w:val="24"/>
          <w:szCs w:val="24"/>
        </w:rPr>
        <w:t>autonomia organizzativa</w:t>
      </w:r>
      <w:r>
        <w:rPr>
          <w:rFonts w:ascii="Calibri" w:hAnsi="Calibri" w:cs="Calibri"/>
          <w:sz w:val="24"/>
          <w:szCs w:val="24"/>
        </w:rPr>
        <w:t xml:space="preserve"> nell’allocazione del personale che opera negli enti e che concorre alla gestione degli appalti.</w:t>
      </w:r>
    </w:p>
    <w:p w14:paraId="7E8AB824" w14:textId="77777777" w:rsidR="00546B83" w:rsidRDefault="00547758">
      <w:pPr>
        <w:suppressAutoHyphens w:val="0"/>
        <w:spacing w:line="276" w:lineRule="auto"/>
        <w:jc w:val="both"/>
      </w:pPr>
      <w:r>
        <w:rPr>
          <w:rFonts w:ascii="Calibri" w:hAnsi="Calibri" w:cs="Calibri"/>
          <w:sz w:val="24"/>
          <w:szCs w:val="24"/>
        </w:rPr>
        <w:t>La riforma dei contratti pubblici, per essere applicata bene,</w:t>
      </w:r>
      <w:r>
        <w:rPr>
          <w:rFonts w:ascii="Calibri" w:hAnsi="Calibri" w:cs="Calibri"/>
          <w:sz w:val="24"/>
          <w:szCs w:val="24"/>
        </w:rPr>
        <w:t xml:space="preserve"> ha sicuramente bisogno di </w:t>
      </w:r>
      <w:r>
        <w:rPr>
          <w:rFonts w:ascii="Calibri" w:hAnsi="Calibri" w:cs="Calibri"/>
          <w:b/>
          <w:bCs/>
          <w:sz w:val="24"/>
          <w:szCs w:val="24"/>
        </w:rPr>
        <w:t>investimenti coerenti per reclutare e formare il personale che opera nelle stazioni appaltanti e per consentire la completa digitalizzazione degli appalti</w:t>
      </w:r>
      <w:r>
        <w:rPr>
          <w:rFonts w:ascii="Calibri" w:hAnsi="Calibri" w:cs="Calibri"/>
          <w:sz w:val="24"/>
          <w:szCs w:val="24"/>
        </w:rPr>
        <w:t>.</w:t>
      </w:r>
    </w:p>
    <w:p w14:paraId="2AC73125" w14:textId="77777777" w:rsidR="00546B83" w:rsidRDefault="00547758">
      <w:pPr>
        <w:pStyle w:val="Paragrafoelenco"/>
        <w:numPr>
          <w:ilvl w:val="0"/>
          <w:numId w:val="2"/>
        </w:numPr>
        <w:suppressAutoHyphens w:val="0"/>
        <w:spacing w:line="276" w:lineRule="auto"/>
        <w:contextualSpacing w:val="0"/>
        <w:jc w:val="both"/>
      </w:pPr>
      <w:r>
        <w:rPr>
          <w:rFonts w:ascii="Calibri" w:hAnsi="Calibri" w:cs="Calibri"/>
          <w:sz w:val="24"/>
          <w:szCs w:val="24"/>
        </w:rPr>
        <w:t xml:space="preserve">L’UPI richiede che </w:t>
      </w:r>
      <w:r>
        <w:rPr>
          <w:rFonts w:ascii="Calibri" w:hAnsi="Calibri" w:cs="Calibri"/>
          <w:b/>
          <w:bCs/>
          <w:sz w:val="24"/>
          <w:szCs w:val="24"/>
        </w:rPr>
        <w:t>lo Stato investa risorse per rafforzare rapidamente la</w:t>
      </w:r>
      <w:r>
        <w:rPr>
          <w:rFonts w:ascii="Calibri" w:hAnsi="Calibri" w:cs="Calibri"/>
          <w:b/>
          <w:bCs/>
          <w:sz w:val="24"/>
          <w:szCs w:val="24"/>
        </w:rPr>
        <w:t xml:space="preserve"> capacità amministrativa delle stazioni uniche appaltanti provinciali e metropolitane, procedendo al reclutamento di personale specializzato (almeno 500 persone) da impiegare nelle </w:t>
      </w:r>
      <w:proofErr w:type="spellStart"/>
      <w:r>
        <w:rPr>
          <w:rFonts w:ascii="Calibri" w:hAnsi="Calibri" w:cs="Calibri"/>
          <w:b/>
          <w:bCs/>
          <w:sz w:val="24"/>
          <w:szCs w:val="24"/>
        </w:rPr>
        <w:t>nelle</w:t>
      </w:r>
      <w:proofErr w:type="spellEnd"/>
      <w:r>
        <w:rPr>
          <w:rFonts w:ascii="Calibri" w:hAnsi="Calibri" w:cs="Calibri"/>
          <w:b/>
          <w:bCs/>
          <w:sz w:val="24"/>
          <w:szCs w:val="24"/>
        </w:rPr>
        <w:t xml:space="preserve"> Province e nelle Città metropolitane. </w:t>
      </w:r>
      <w:r>
        <w:rPr>
          <w:rFonts w:ascii="Calibri" w:hAnsi="Calibri" w:cs="Calibri"/>
          <w:sz w:val="24"/>
          <w:szCs w:val="24"/>
        </w:rPr>
        <w:t xml:space="preserve">Questo personale reclutato con </w:t>
      </w:r>
      <w:r>
        <w:rPr>
          <w:rFonts w:ascii="Calibri" w:hAnsi="Calibri" w:cs="Calibri"/>
          <w:sz w:val="24"/>
          <w:szCs w:val="24"/>
        </w:rPr>
        <w:t xml:space="preserve">risorse statali al di fuori dei limiti vigenti per le assunzioni di personale degli enti locali sarà in carico ai bilanci delle Province e delle Città metropolitane dal 2026. </w:t>
      </w:r>
    </w:p>
    <w:p w14:paraId="36B519DB" w14:textId="77777777" w:rsidR="00546B83" w:rsidRDefault="00547758">
      <w:pPr>
        <w:pStyle w:val="Paragrafoelenco"/>
        <w:numPr>
          <w:ilvl w:val="0"/>
          <w:numId w:val="2"/>
        </w:numPr>
        <w:suppressAutoHyphens w:val="0"/>
        <w:spacing w:line="276" w:lineRule="auto"/>
        <w:contextualSpacing w:val="0"/>
        <w:jc w:val="both"/>
      </w:pPr>
      <w:r>
        <w:rPr>
          <w:rFonts w:ascii="Calibri" w:hAnsi="Calibri" w:cs="Calibri"/>
          <w:sz w:val="24"/>
          <w:szCs w:val="24"/>
        </w:rPr>
        <w:t xml:space="preserve">La </w:t>
      </w:r>
      <w:r>
        <w:rPr>
          <w:rFonts w:ascii="Calibri" w:hAnsi="Calibri" w:cs="Calibri"/>
          <w:b/>
          <w:bCs/>
          <w:sz w:val="24"/>
          <w:szCs w:val="24"/>
        </w:rPr>
        <w:t>formazione del personale che opera nella gestione dei contratti pubblici</w:t>
      </w:r>
      <w:r>
        <w:rPr>
          <w:rFonts w:ascii="Calibri" w:hAnsi="Calibri" w:cs="Calibri"/>
          <w:sz w:val="24"/>
          <w:szCs w:val="24"/>
        </w:rPr>
        <w:t>, per</w:t>
      </w:r>
      <w:r>
        <w:rPr>
          <w:rFonts w:ascii="Calibri" w:hAnsi="Calibri" w:cs="Calibri"/>
          <w:sz w:val="24"/>
          <w:szCs w:val="24"/>
        </w:rPr>
        <w:t xml:space="preserve"> la quale dovranno essere previsti </w:t>
      </w:r>
      <w:r>
        <w:rPr>
          <w:rFonts w:ascii="Calibri" w:hAnsi="Calibri" w:cs="Calibri"/>
          <w:b/>
          <w:bCs/>
          <w:sz w:val="24"/>
          <w:szCs w:val="24"/>
        </w:rPr>
        <w:t>specifici percorsi</w:t>
      </w:r>
      <w:r>
        <w:rPr>
          <w:rFonts w:ascii="Calibri" w:hAnsi="Calibri" w:cs="Calibri"/>
          <w:sz w:val="24"/>
          <w:szCs w:val="24"/>
        </w:rPr>
        <w:t xml:space="preserve"> per il personale che lavora nelle centrali di committenza e nelle </w:t>
      </w:r>
      <w:r>
        <w:rPr>
          <w:rFonts w:ascii="Calibri" w:hAnsi="Calibri" w:cs="Calibri"/>
          <w:b/>
          <w:bCs/>
          <w:sz w:val="24"/>
          <w:szCs w:val="24"/>
        </w:rPr>
        <w:t>stazioni uniche appaltanti provinciali e metropolitane</w:t>
      </w:r>
      <w:r>
        <w:rPr>
          <w:rFonts w:ascii="Calibri" w:hAnsi="Calibri" w:cs="Calibri"/>
          <w:sz w:val="24"/>
          <w:szCs w:val="24"/>
        </w:rPr>
        <w:t>, con particolare attenzione agli accordi quadro, alle modalità di convenzionament</w:t>
      </w:r>
      <w:r>
        <w:rPr>
          <w:rFonts w:ascii="Calibri" w:hAnsi="Calibri" w:cs="Calibri"/>
          <w:sz w:val="24"/>
          <w:szCs w:val="24"/>
        </w:rPr>
        <w:t>o con gli enti terzi, alle analisi di mercato, alla programmazione delle gare (anche per lotti), al ricorso a procedure di affidamento innovative che consentano di qualificare l’offerta e la domanda nel mercato dei contratti pubblici.</w:t>
      </w:r>
    </w:p>
    <w:p w14:paraId="5CADAFFD" w14:textId="77777777" w:rsidR="00546B83" w:rsidRDefault="00547758">
      <w:pPr>
        <w:pStyle w:val="Paragrafoelenco"/>
        <w:numPr>
          <w:ilvl w:val="0"/>
          <w:numId w:val="2"/>
        </w:numPr>
        <w:suppressAutoHyphens w:val="0"/>
        <w:spacing w:line="276" w:lineRule="auto"/>
        <w:contextualSpacing w:val="0"/>
        <w:jc w:val="both"/>
      </w:pPr>
      <w:r>
        <w:rPr>
          <w:rFonts w:ascii="Calibri" w:hAnsi="Calibri" w:cs="Calibri"/>
          <w:sz w:val="24"/>
          <w:szCs w:val="24"/>
        </w:rPr>
        <w:t xml:space="preserve">La </w:t>
      </w:r>
      <w:r>
        <w:rPr>
          <w:rFonts w:ascii="Calibri" w:hAnsi="Calibri" w:cs="Calibri"/>
          <w:b/>
          <w:bCs/>
          <w:sz w:val="24"/>
          <w:szCs w:val="24"/>
        </w:rPr>
        <w:t>digitalizzazione d</w:t>
      </w:r>
      <w:r>
        <w:rPr>
          <w:rFonts w:ascii="Calibri" w:hAnsi="Calibri" w:cs="Calibri"/>
          <w:b/>
          <w:bCs/>
          <w:sz w:val="24"/>
          <w:szCs w:val="24"/>
        </w:rPr>
        <w:t>elle procedure di gara</w:t>
      </w:r>
      <w:r>
        <w:rPr>
          <w:rFonts w:ascii="Calibri" w:hAnsi="Calibri" w:cs="Calibri"/>
          <w:sz w:val="24"/>
          <w:szCs w:val="24"/>
        </w:rPr>
        <w:t xml:space="preserve">, per la quale occorre prevedere lo sviluppo di piattaforme aggiornate che possano essere messe a disposizione delle stazioni appaltanti, senza oneri aggiuntivi, attraverso il riuso previsto nel Codice delle amministrazioni digitali, </w:t>
      </w:r>
      <w:r>
        <w:rPr>
          <w:rFonts w:ascii="Calibri" w:hAnsi="Calibri" w:cs="Calibri"/>
          <w:sz w:val="24"/>
          <w:szCs w:val="24"/>
        </w:rPr>
        <w:t xml:space="preserve">con l’obiettivo di </w:t>
      </w:r>
      <w:r>
        <w:rPr>
          <w:rFonts w:ascii="Calibri" w:hAnsi="Calibri" w:cs="Calibri"/>
          <w:b/>
          <w:bCs/>
          <w:sz w:val="24"/>
          <w:szCs w:val="24"/>
        </w:rPr>
        <w:t>favorire l’interoperabilità delle piattaforme e la piena circolazione dei dati sui contratti pubblici tra tutti gli attori del sistema</w:t>
      </w:r>
      <w:r>
        <w:rPr>
          <w:rFonts w:ascii="Calibri" w:hAnsi="Calibri" w:cs="Calibri"/>
          <w:sz w:val="24"/>
          <w:szCs w:val="24"/>
        </w:rPr>
        <w:t>, attraverso il rafforzamento della banca dati gestita dall’ANAC, del ruolo degli Osservatori regionali</w:t>
      </w:r>
      <w:r>
        <w:rPr>
          <w:rFonts w:ascii="Calibri" w:hAnsi="Calibri" w:cs="Calibri"/>
          <w:sz w:val="24"/>
          <w:szCs w:val="24"/>
        </w:rPr>
        <w:t xml:space="preserve"> sugli appalti pubblici, della funzione fondamentale di raccolta ed elaborazione dati territoriali che l’ordinamento assegna alle Province e alle Città metropolitane.</w:t>
      </w:r>
    </w:p>
    <w:p w14:paraId="152954E8" w14:textId="24C13207" w:rsidR="00546B83" w:rsidRPr="003B421F" w:rsidRDefault="00547758">
      <w:pPr>
        <w:pStyle w:val="Paragrafoelenco"/>
        <w:numPr>
          <w:ilvl w:val="0"/>
          <w:numId w:val="3"/>
        </w:numPr>
        <w:suppressAutoHyphens w:val="0"/>
        <w:spacing w:line="276" w:lineRule="auto"/>
        <w:jc w:val="both"/>
      </w:pPr>
      <w:r>
        <w:rPr>
          <w:rFonts w:ascii="Calibri" w:hAnsi="Calibri" w:cs="Calibri"/>
          <w:b/>
          <w:bCs/>
          <w:i/>
          <w:iCs/>
          <w:sz w:val="24"/>
          <w:szCs w:val="24"/>
        </w:rPr>
        <w:t>Conclusioni</w:t>
      </w:r>
    </w:p>
    <w:p w14:paraId="22A8FF00" w14:textId="77777777" w:rsidR="003B421F" w:rsidRDefault="003B421F" w:rsidP="003B421F">
      <w:pPr>
        <w:pStyle w:val="Paragrafoelenco"/>
        <w:suppressAutoHyphens w:val="0"/>
        <w:spacing w:line="276" w:lineRule="auto"/>
        <w:jc w:val="both"/>
      </w:pPr>
    </w:p>
    <w:p w14:paraId="28C816B6" w14:textId="3FB05234" w:rsidR="003B421F" w:rsidRPr="003B421F" w:rsidRDefault="00547758" w:rsidP="003B421F">
      <w:pPr>
        <w:suppressAutoHyphens w:val="0"/>
        <w:spacing w:line="276" w:lineRule="auto"/>
        <w:jc w:val="both"/>
        <w:rPr>
          <w:rFonts w:ascii="Calibri" w:hAnsi="Calibri" w:cs="Calibri"/>
          <w:b/>
          <w:bCs/>
          <w:sz w:val="24"/>
          <w:szCs w:val="24"/>
        </w:rPr>
      </w:pPr>
      <w:r w:rsidRPr="003B421F">
        <w:rPr>
          <w:rFonts w:ascii="Calibri" w:hAnsi="Calibri" w:cs="Calibri"/>
          <w:b/>
          <w:bCs/>
          <w:sz w:val="24"/>
          <w:szCs w:val="24"/>
        </w:rPr>
        <w:t xml:space="preserve">L’UPI auspica che il Governo, nell’approvazione definitiva del nuovo </w:t>
      </w:r>
      <w:r w:rsidRPr="003B421F">
        <w:rPr>
          <w:rFonts w:ascii="Calibri" w:hAnsi="Calibri" w:cs="Calibri"/>
          <w:b/>
          <w:bCs/>
          <w:sz w:val="24"/>
          <w:szCs w:val="24"/>
        </w:rPr>
        <w:t>codice dei contratti pubblici, tenga conto delle considerazioni e delle proposte di emendamento contenute nel presente documento</w:t>
      </w:r>
      <w:r w:rsidR="003B421F" w:rsidRPr="003B421F">
        <w:rPr>
          <w:rFonts w:ascii="Calibri" w:hAnsi="Calibri" w:cs="Calibri"/>
          <w:b/>
          <w:bCs/>
          <w:sz w:val="24"/>
          <w:szCs w:val="24"/>
        </w:rPr>
        <w:t>.</w:t>
      </w:r>
    </w:p>
    <w:p w14:paraId="5E4E6D9F" w14:textId="2522244C" w:rsidR="003B421F" w:rsidRPr="003B421F" w:rsidRDefault="003B421F" w:rsidP="003B421F">
      <w:pPr>
        <w:pStyle w:val="Paragrafoelenco"/>
        <w:numPr>
          <w:ilvl w:val="0"/>
          <w:numId w:val="10"/>
        </w:numPr>
        <w:suppressAutoHyphens w:val="0"/>
        <w:spacing w:line="276" w:lineRule="auto"/>
        <w:contextualSpacing w:val="0"/>
        <w:jc w:val="both"/>
        <w:rPr>
          <w:rFonts w:ascii="Calibri" w:hAnsi="Calibri" w:cs="Calibri"/>
          <w:b/>
          <w:bCs/>
          <w:sz w:val="24"/>
          <w:szCs w:val="24"/>
        </w:rPr>
      </w:pPr>
      <w:r w:rsidRPr="003B421F">
        <w:rPr>
          <w:rFonts w:ascii="Calibri" w:hAnsi="Calibri" w:cs="Calibri"/>
          <w:b/>
          <w:bCs/>
          <w:sz w:val="24"/>
          <w:szCs w:val="24"/>
        </w:rPr>
        <w:t>Sulla base del confronto approfondito in sede tecnica, l’UPI esprime parere favorevole sullo schema del nuovo codice dei contratti pubblici</w:t>
      </w:r>
      <w:r>
        <w:rPr>
          <w:rFonts w:ascii="Calibri" w:hAnsi="Calibri" w:cs="Calibri"/>
          <w:b/>
          <w:bCs/>
          <w:sz w:val="24"/>
          <w:szCs w:val="24"/>
        </w:rPr>
        <w:t>,</w:t>
      </w:r>
      <w:r w:rsidRPr="003B421F">
        <w:rPr>
          <w:rFonts w:ascii="Calibri" w:hAnsi="Calibri" w:cs="Calibri"/>
          <w:b/>
          <w:bCs/>
          <w:sz w:val="24"/>
          <w:szCs w:val="24"/>
        </w:rPr>
        <w:t xml:space="preserve"> a condizione che siano accolti gli emendamenti proposti all’articolo 45 (in materia di incentivi tecnici), all’articolo 62 (disposizioni specifiche sulle stazioni uniche appaltanti) e all’articolo 222 (semplificazione del sistema sanzionatorio).</w:t>
      </w:r>
    </w:p>
    <w:p w14:paraId="6DAB112F" w14:textId="2E1A08BC" w:rsidR="00546B83" w:rsidRPr="003B421F" w:rsidRDefault="003B421F" w:rsidP="003B421F">
      <w:pPr>
        <w:pStyle w:val="Paragrafoelenco"/>
        <w:numPr>
          <w:ilvl w:val="0"/>
          <w:numId w:val="10"/>
        </w:numPr>
        <w:suppressAutoHyphens w:val="0"/>
        <w:spacing w:line="276" w:lineRule="auto"/>
        <w:contextualSpacing w:val="0"/>
        <w:jc w:val="both"/>
        <w:rPr>
          <w:rFonts w:ascii="Calibri" w:hAnsi="Calibri" w:cs="Calibri"/>
          <w:b/>
          <w:bCs/>
          <w:sz w:val="24"/>
          <w:szCs w:val="24"/>
        </w:rPr>
      </w:pPr>
      <w:r w:rsidRPr="003B421F">
        <w:rPr>
          <w:rFonts w:ascii="Calibri" w:hAnsi="Calibri" w:cs="Calibri"/>
          <w:b/>
          <w:bCs/>
          <w:sz w:val="24"/>
          <w:szCs w:val="24"/>
        </w:rPr>
        <w:t xml:space="preserve">Allo stesso tempo, in considerazione degli impegni che le Province dovranno assumere per la formazione, la qualificazione e la digitalizzazione delle strutture che </w:t>
      </w:r>
      <w:r>
        <w:rPr>
          <w:rFonts w:ascii="Calibri" w:hAnsi="Calibri" w:cs="Calibri"/>
          <w:b/>
          <w:bCs/>
          <w:sz w:val="24"/>
          <w:szCs w:val="24"/>
        </w:rPr>
        <w:t xml:space="preserve">gestiscono gli </w:t>
      </w:r>
      <w:r w:rsidRPr="003B421F">
        <w:rPr>
          <w:rFonts w:ascii="Calibri" w:hAnsi="Calibri" w:cs="Calibri"/>
          <w:b/>
          <w:bCs/>
          <w:sz w:val="24"/>
          <w:szCs w:val="24"/>
        </w:rPr>
        <w:t xml:space="preserve">appalti, l’UPI chiede al Governo di individuare una strategia e un percorso mirato per rafforzare e qualificare le stazioni uniche appaltanti delle Province che operano a servizio degli enti locali del loro territorio. </w:t>
      </w:r>
    </w:p>
    <w:p w14:paraId="50994CBF" w14:textId="77777777" w:rsidR="003B421F" w:rsidRDefault="003B421F" w:rsidP="003B421F">
      <w:pPr>
        <w:suppressAutoHyphens w:val="0"/>
        <w:spacing w:line="276" w:lineRule="auto"/>
        <w:jc w:val="both"/>
        <w:rPr>
          <w:rFonts w:ascii="Calibri" w:hAnsi="Calibri" w:cs="Calibri"/>
          <w:b/>
          <w:bCs/>
          <w:sz w:val="24"/>
          <w:szCs w:val="24"/>
        </w:rPr>
      </w:pPr>
    </w:p>
    <w:p w14:paraId="34B1ACDD" w14:textId="77777777" w:rsidR="003B421F" w:rsidRDefault="003B421F">
      <w:pPr>
        <w:suppressAutoHyphens w:val="0"/>
        <w:spacing w:line="276" w:lineRule="auto"/>
        <w:jc w:val="both"/>
      </w:pPr>
    </w:p>
    <w:sectPr w:rsidR="003B421F">
      <w:footerReference w:type="default" r:id="rId9"/>
      <w:pgSz w:w="11906" w:h="16838"/>
      <w:pgMar w:top="1417" w:right="1134" w:bottom="1134" w:left="1134"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4D96" w14:textId="77777777" w:rsidR="00547758" w:rsidRDefault="00547758">
      <w:pPr>
        <w:spacing w:after="0" w:line="240" w:lineRule="auto"/>
      </w:pPr>
      <w:r>
        <w:separator/>
      </w:r>
    </w:p>
  </w:endnote>
  <w:endnote w:type="continuationSeparator" w:id="0">
    <w:p w14:paraId="62ACDB94" w14:textId="77777777" w:rsidR="00547758" w:rsidRDefault="0054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568726"/>
      <w:docPartObj>
        <w:docPartGallery w:val="Page Numbers (Bottom of Page)"/>
        <w:docPartUnique/>
      </w:docPartObj>
    </w:sdtPr>
    <w:sdtEndPr/>
    <w:sdtContent>
      <w:p w14:paraId="7426728F" w14:textId="77777777" w:rsidR="00546B83" w:rsidRDefault="00547758">
        <w:pPr>
          <w:pStyle w:val="Pidipagina"/>
          <w:jc w:val="right"/>
        </w:pPr>
        <w:r>
          <w:fldChar w:fldCharType="begin"/>
        </w:r>
        <w:r>
          <w:instrText xml:space="preserve"> PAGE </w:instrText>
        </w:r>
        <w:r>
          <w:fldChar w:fldCharType="separate"/>
        </w:r>
        <w:r>
          <w:t>5</w:t>
        </w:r>
        <w:r>
          <w:fldChar w:fldCharType="end"/>
        </w:r>
      </w:p>
    </w:sdtContent>
  </w:sdt>
  <w:p w14:paraId="0205CC3E" w14:textId="77777777" w:rsidR="00546B83" w:rsidRDefault="00546B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7FE2" w14:textId="77777777" w:rsidR="00547758" w:rsidRDefault="00547758">
      <w:pPr>
        <w:spacing w:after="0" w:line="240" w:lineRule="auto"/>
      </w:pPr>
      <w:r>
        <w:separator/>
      </w:r>
    </w:p>
  </w:footnote>
  <w:footnote w:type="continuationSeparator" w:id="0">
    <w:p w14:paraId="56B84AB8" w14:textId="77777777" w:rsidR="00547758" w:rsidRDefault="0054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46E"/>
    <w:multiLevelType w:val="multilevel"/>
    <w:tmpl w:val="A64C2A6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7D3DF7"/>
    <w:multiLevelType w:val="multilevel"/>
    <w:tmpl w:val="D51AD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DC771A1"/>
    <w:multiLevelType w:val="hybridMultilevel"/>
    <w:tmpl w:val="010C9FE4"/>
    <w:lvl w:ilvl="0" w:tplc="C414B77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1C09C3"/>
    <w:multiLevelType w:val="multilevel"/>
    <w:tmpl w:val="680CE9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B1670A8"/>
    <w:multiLevelType w:val="multilevel"/>
    <w:tmpl w:val="58BCAA6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9C25D09"/>
    <w:multiLevelType w:val="hybridMultilevel"/>
    <w:tmpl w:val="ADCE649A"/>
    <w:lvl w:ilvl="0" w:tplc="C414B770">
      <w:start w:val="1"/>
      <w:numFmt w:val="bullet"/>
      <w:lvlText w:val=""/>
      <w:lvlJc w:val="left"/>
      <w:pPr>
        <w:ind w:left="720" w:hanging="360"/>
      </w:pPr>
      <w:rPr>
        <w:rFonts w:ascii="Wingdings" w:hAnsi="Wingdings" w:hint="default"/>
      </w:rPr>
    </w:lvl>
    <w:lvl w:ilvl="1" w:tplc="04100001">
      <w:start w:val="1"/>
      <w:numFmt w:val="bullet"/>
      <w:lvlText w:val=""/>
      <w:lvlJc w:val="left"/>
      <w:pPr>
        <w:ind w:left="1571"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481677"/>
    <w:multiLevelType w:val="hybridMultilevel"/>
    <w:tmpl w:val="F97A6316"/>
    <w:lvl w:ilvl="0" w:tplc="C414B77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81A1D90"/>
    <w:multiLevelType w:val="hybridMultilevel"/>
    <w:tmpl w:val="87B014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64EF7BE3"/>
    <w:multiLevelType w:val="multilevel"/>
    <w:tmpl w:val="FA46F2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590092E"/>
    <w:multiLevelType w:val="multilevel"/>
    <w:tmpl w:val="C8526C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80118710">
    <w:abstractNumId w:val="0"/>
  </w:num>
  <w:num w:numId="2" w16cid:durableId="1811750442">
    <w:abstractNumId w:val="9"/>
  </w:num>
  <w:num w:numId="3" w16cid:durableId="1212308114">
    <w:abstractNumId w:val="4"/>
  </w:num>
  <w:num w:numId="4" w16cid:durableId="1006707548">
    <w:abstractNumId w:val="1"/>
  </w:num>
  <w:num w:numId="5" w16cid:durableId="1201165407">
    <w:abstractNumId w:val="3"/>
  </w:num>
  <w:num w:numId="6" w16cid:durableId="317612093">
    <w:abstractNumId w:val="7"/>
  </w:num>
  <w:num w:numId="7" w16cid:durableId="506864270">
    <w:abstractNumId w:val="6"/>
  </w:num>
  <w:num w:numId="8" w16cid:durableId="520701461">
    <w:abstractNumId w:val="5"/>
  </w:num>
  <w:num w:numId="9" w16cid:durableId="389305693">
    <w:abstractNumId w:val="8"/>
  </w:num>
  <w:num w:numId="10" w16cid:durableId="85638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83"/>
    <w:rsid w:val="000D6CA0"/>
    <w:rsid w:val="00336D92"/>
    <w:rsid w:val="003B421F"/>
    <w:rsid w:val="00421D37"/>
    <w:rsid w:val="00546B83"/>
    <w:rsid w:val="00547758"/>
    <w:rsid w:val="005540EF"/>
    <w:rsid w:val="005C6360"/>
    <w:rsid w:val="00731ED5"/>
    <w:rsid w:val="007D4339"/>
    <w:rsid w:val="00A03D40"/>
    <w:rsid w:val="00A30ACA"/>
    <w:rsid w:val="00CC503E"/>
    <w:rsid w:val="00D61A85"/>
    <w:rsid w:val="00D729C2"/>
    <w:rsid w:val="00E318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2C2A"/>
  <w15:docId w15:val="{C38D095A-31D7-4ED3-BB4A-505291EB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CB3"/>
    <w:pPr>
      <w:spacing w:after="160" w:line="259" w:lineRule="auto"/>
    </w:pPr>
    <w:rPr>
      <w:sz w:val="22"/>
      <w:szCs w:val="22"/>
    </w:rPr>
  </w:style>
  <w:style w:type="paragraph" w:styleId="Titolo1">
    <w:name w:val="heading 1"/>
    <w:basedOn w:val="Normale"/>
    <w:next w:val="Normale"/>
    <w:link w:val="Titolo1Carattere"/>
    <w:uiPriority w:val="9"/>
    <w:qFormat/>
    <w:rsid w:val="000C269A"/>
    <w:pPr>
      <w:pBdr>
        <w:top w:val="single" w:sz="24" w:space="0" w:color="052F61"/>
        <w:left w:val="single" w:sz="24" w:space="0" w:color="052F61"/>
        <w:bottom w:val="single" w:sz="24" w:space="0" w:color="052F61"/>
        <w:right w:val="single" w:sz="24" w:space="0" w:color="052F61"/>
      </w:pBdr>
      <w:shd w:val="clear" w:color="auto" w:fill="052F61" w:themeFill="accent1"/>
      <w:suppressAutoHyphens w:val="0"/>
      <w:spacing w:before="100" w:after="0" w:line="276" w:lineRule="auto"/>
      <w:outlineLvl w:val="0"/>
    </w:pPr>
    <w:rPr>
      <w:caps/>
      <w:color w:val="FFFFFF" w:themeColor="background1"/>
      <w:spacing w:val="15"/>
    </w:rPr>
  </w:style>
  <w:style w:type="paragraph" w:styleId="Titolo2">
    <w:name w:val="heading 2"/>
    <w:basedOn w:val="Normale"/>
    <w:next w:val="Normale"/>
    <w:link w:val="Titolo2Carattere"/>
    <w:uiPriority w:val="9"/>
    <w:semiHidden/>
    <w:unhideWhenUsed/>
    <w:qFormat/>
    <w:rsid w:val="000C269A"/>
    <w:pPr>
      <w:pBdr>
        <w:top w:val="single" w:sz="24" w:space="0" w:color="B1D2FB"/>
        <w:left w:val="single" w:sz="24" w:space="0" w:color="B1D2FB"/>
        <w:bottom w:val="single" w:sz="24" w:space="0" w:color="B1D2FB"/>
        <w:right w:val="single" w:sz="24" w:space="0" w:color="B1D2FB"/>
      </w:pBdr>
      <w:shd w:val="clear" w:color="auto" w:fill="B1D2FB" w:themeFill="accent1" w:themeFillTint="33"/>
      <w:suppressAutoHyphens w:val="0"/>
      <w:spacing w:before="100" w:after="0" w:line="276" w:lineRule="auto"/>
      <w:outlineLvl w:val="1"/>
    </w:pPr>
    <w:rPr>
      <w:caps/>
      <w:spacing w:val="15"/>
      <w:sz w:val="20"/>
      <w:szCs w:val="20"/>
    </w:rPr>
  </w:style>
  <w:style w:type="paragraph" w:styleId="Titolo3">
    <w:name w:val="heading 3"/>
    <w:basedOn w:val="Normale"/>
    <w:next w:val="Normale"/>
    <w:link w:val="Titolo3Carattere"/>
    <w:uiPriority w:val="9"/>
    <w:semiHidden/>
    <w:unhideWhenUsed/>
    <w:qFormat/>
    <w:rsid w:val="000C269A"/>
    <w:pPr>
      <w:pBdr>
        <w:top w:val="single" w:sz="6" w:space="2" w:color="052F61"/>
      </w:pBdr>
      <w:suppressAutoHyphens w:val="0"/>
      <w:spacing w:before="300" w:after="0" w:line="276" w:lineRule="auto"/>
      <w:outlineLvl w:val="2"/>
    </w:pPr>
    <w:rPr>
      <w:caps/>
      <w:color w:val="021730" w:themeColor="accent1" w:themeShade="7F"/>
      <w:spacing w:val="15"/>
      <w:sz w:val="20"/>
      <w:szCs w:val="20"/>
    </w:rPr>
  </w:style>
  <w:style w:type="paragraph" w:styleId="Titolo4">
    <w:name w:val="heading 4"/>
    <w:basedOn w:val="Normale"/>
    <w:next w:val="Normale"/>
    <w:link w:val="Titolo4Carattere"/>
    <w:uiPriority w:val="9"/>
    <w:semiHidden/>
    <w:unhideWhenUsed/>
    <w:qFormat/>
    <w:rsid w:val="000C269A"/>
    <w:pPr>
      <w:pBdr>
        <w:top w:val="dotted" w:sz="6" w:space="2" w:color="052F61"/>
      </w:pBdr>
      <w:suppressAutoHyphens w:val="0"/>
      <w:spacing w:before="200" w:after="0" w:line="276" w:lineRule="auto"/>
      <w:outlineLvl w:val="3"/>
    </w:pPr>
    <w:rPr>
      <w:caps/>
      <w:color w:val="032348" w:themeColor="accent1" w:themeShade="BF"/>
      <w:spacing w:val="10"/>
      <w:sz w:val="20"/>
      <w:szCs w:val="20"/>
    </w:rPr>
  </w:style>
  <w:style w:type="paragraph" w:styleId="Titolo5">
    <w:name w:val="heading 5"/>
    <w:basedOn w:val="Normale"/>
    <w:next w:val="Normale"/>
    <w:link w:val="Titolo5Carattere"/>
    <w:uiPriority w:val="9"/>
    <w:semiHidden/>
    <w:unhideWhenUsed/>
    <w:qFormat/>
    <w:rsid w:val="000C269A"/>
    <w:pPr>
      <w:pBdr>
        <w:bottom w:val="single" w:sz="6" w:space="1" w:color="052F61"/>
      </w:pBdr>
      <w:suppressAutoHyphens w:val="0"/>
      <w:spacing w:before="200" w:after="0" w:line="276" w:lineRule="auto"/>
      <w:outlineLvl w:val="4"/>
    </w:pPr>
    <w:rPr>
      <w:caps/>
      <w:color w:val="032348" w:themeColor="accent1" w:themeShade="BF"/>
      <w:spacing w:val="10"/>
      <w:sz w:val="20"/>
      <w:szCs w:val="20"/>
    </w:rPr>
  </w:style>
  <w:style w:type="paragraph" w:styleId="Titolo6">
    <w:name w:val="heading 6"/>
    <w:basedOn w:val="Normale"/>
    <w:next w:val="Normale"/>
    <w:link w:val="Titolo6Carattere"/>
    <w:uiPriority w:val="9"/>
    <w:semiHidden/>
    <w:unhideWhenUsed/>
    <w:qFormat/>
    <w:rsid w:val="000C269A"/>
    <w:pPr>
      <w:pBdr>
        <w:bottom w:val="dotted" w:sz="6" w:space="1" w:color="052F61"/>
      </w:pBdr>
      <w:suppressAutoHyphens w:val="0"/>
      <w:spacing w:before="200" w:after="0" w:line="276" w:lineRule="auto"/>
      <w:outlineLvl w:val="5"/>
    </w:pPr>
    <w:rPr>
      <w:caps/>
      <w:color w:val="032348" w:themeColor="accent1" w:themeShade="BF"/>
      <w:spacing w:val="10"/>
      <w:sz w:val="20"/>
      <w:szCs w:val="20"/>
    </w:rPr>
  </w:style>
  <w:style w:type="paragraph" w:styleId="Titolo7">
    <w:name w:val="heading 7"/>
    <w:basedOn w:val="Normale"/>
    <w:next w:val="Normale"/>
    <w:link w:val="Titolo7Carattere"/>
    <w:uiPriority w:val="9"/>
    <w:semiHidden/>
    <w:unhideWhenUsed/>
    <w:qFormat/>
    <w:rsid w:val="000C269A"/>
    <w:pPr>
      <w:suppressAutoHyphens w:val="0"/>
      <w:spacing w:before="200" w:after="0" w:line="276" w:lineRule="auto"/>
      <w:outlineLvl w:val="6"/>
    </w:pPr>
    <w:rPr>
      <w:caps/>
      <w:color w:val="032348" w:themeColor="accent1" w:themeShade="BF"/>
      <w:spacing w:val="10"/>
      <w:sz w:val="20"/>
      <w:szCs w:val="20"/>
    </w:rPr>
  </w:style>
  <w:style w:type="paragraph" w:styleId="Titolo8">
    <w:name w:val="heading 8"/>
    <w:basedOn w:val="Normale"/>
    <w:next w:val="Normale"/>
    <w:link w:val="Titolo8Carattere"/>
    <w:uiPriority w:val="9"/>
    <w:semiHidden/>
    <w:unhideWhenUsed/>
    <w:qFormat/>
    <w:rsid w:val="000C269A"/>
    <w:pPr>
      <w:suppressAutoHyphens w:val="0"/>
      <w:spacing w:before="200" w:after="0" w:line="276" w:lineRule="auto"/>
      <w:outlineLvl w:val="7"/>
    </w:pPr>
    <w:rPr>
      <w:caps/>
      <w:spacing w:val="10"/>
      <w:sz w:val="18"/>
      <w:szCs w:val="18"/>
    </w:rPr>
  </w:style>
  <w:style w:type="paragraph" w:styleId="Titolo9">
    <w:name w:val="heading 9"/>
    <w:basedOn w:val="Normale"/>
    <w:next w:val="Normale"/>
    <w:link w:val="Titolo9Carattere"/>
    <w:uiPriority w:val="9"/>
    <w:semiHidden/>
    <w:unhideWhenUsed/>
    <w:qFormat/>
    <w:rsid w:val="000C269A"/>
    <w:pPr>
      <w:suppressAutoHyphens w:val="0"/>
      <w:spacing w:before="200" w:after="0" w:line="276" w:lineRule="auto"/>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0C269A"/>
    <w:rPr>
      <w:caps/>
      <w:color w:val="FFFFFF" w:themeColor="background1"/>
      <w:spacing w:val="15"/>
      <w:sz w:val="22"/>
      <w:szCs w:val="22"/>
      <w:shd w:val="clear" w:color="auto" w:fill="052F61"/>
    </w:rPr>
  </w:style>
  <w:style w:type="character" w:customStyle="1" w:styleId="Titolo2Carattere">
    <w:name w:val="Titolo 2 Carattere"/>
    <w:basedOn w:val="Carpredefinitoparagrafo"/>
    <w:link w:val="Titolo2"/>
    <w:uiPriority w:val="9"/>
    <w:semiHidden/>
    <w:qFormat/>
    <w:rsid w:val="000C269A"/>
    <w:rPr>
      <w:caps/>
      <w:spacing w:val="15"/>
      <w:shd w:val="clear" w:color="auto" w:fill="B1D2FB"/>
    </w:rPr>
  </w:style>
  <w:style w:type="character" w:customStyle="1" w:styleId="Titolo3Carattere">
    <w:name w:val="Titolo 3 Carattere"/>
    <w:basedOn w:val="Carpredefinitoparagrafo"/>
    <w:link w:val="Titolo3"/>
    <w:uiPriority w:val="9"/>
    <w:semiHidden/>
    <w:qFormat/>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qFormat/>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qFormat/>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qFormat/>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qFormat/>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qFormat/>
    <w:rsid w:val="000C269A"/>
    <w:rPr>
      <w:caps/>
      <w:spacing w:val="10"/>
      <w:sz w:val="18"/>
      <w:szCs w:val="18"/>
    </w:rPr>
  </w:style>
  <w:style w:type="character" w:customStyle="1" w:styleId="Titolo9Carattere">
    <w:name w:val="Titolo 9 Carattere"/>
    <w:basedOn w:val="Carpredefinitoparagrafo"/>
    <w:link w:val="Titolo9"/>
    <w:uiPriority w:val="9"/>
    <w:semiHidden/>
    <w:qFormat/>
    <w:rsid w:val="000C269A"/>
    <w:rPr>
      <w:i/>
      <w:iCs/>
      <w:caps/>
      <w:spacing w:val="10"/>
      <w:sz w:val="18"/>
      <w:szCs w:val="18"/>
    </w:rPr>
  </w:style>
  <w:style w:type="character" w:customStyle="1" w:styleId="TitoloCarattere">
    <w:name w:val="Titolo Carattere"/>
    <w:basedOn w:val="Carpredefinitoparagrafo"/>
    <w:link w:val="Titolo"/>
    <w:uiPriority w:val="10"/>
    <w:qFormat/>
    <w:rsid w:val="000C269A"/>
    <w:rPr>
      <w:rFonts w:asciiTheme="majorHAnsi" w:eastAsiaTheme="majorEastAsia" w:hAnsiTheme="majorHAnsi" w:cstheme="majorBidi"/>
      <w:caps/>
      <w:color w:val="052F61" w:themeColor="accent1"/>
      <w:spacing w:val="10"/>
      <w:sz w:val="52"/>
      <w:szCs w:val="52"/>
    </w:rPr>
  </w:style>
  <w:style w:type="character" w:customStyle="1" w:styleId="SottotitoloCarattere">
    <w:name w:val="Sottotitolo Carattere"/>
    <w:basedOn w:val="Carpredefinitoparagrafo"/>
    <w:link w:val="Sottotitolo"/>
    <w:uiPriority w:val="11"/>
    <w:qFormat/>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character" w:customStyle="1" w:styleId="CitazioneCarattere">
    <w:name w:val="Citazione Carattere"/>
    <w:basedOn w:val="Carpredefinitoparagrafo"/>
    <w:link w:val="Citazione"/>
    <w:uiPriority w:val="29"/>
    <w:qFormat/>
    <w:rsid w:val="000C269A"/>
    <w:rPr>
      <w:i/>
      <w:iCs/>
      <w:sz w:val="24"/>
      <w:szCs w:val="24"/>
    </w:rPr>
  </w:style>
  <w:style w:type="character" w:customStyle="1" w:styleId="CitazioneintensaCarattere">
    <w:name w:val="Citazione intensa Carattere"/>
    <w:basedOn w:val="Carpredefinitoparagrafo"/>
    <w:link w:val="Citazioneintensa"/>
    <w:uiPriority w:val="30"/>
    <w:qFormat/>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character" w:customStyle="1" w:styleId="IntestazioneCarattere">
    <w:name w:val="Intestazione Carattere"/>
    <w:basedOn w:val="Carpredefinitoparagrafo"/>
    <w:link w:val="Intestazione"/>
    <w:uiPriority w:val="99"/>
    <w:qFormat/>
    <w:rsid w:val="000044F2"/>
    <w:rPr>
      <w:sz w:val="22"/>
      <w:szCs w:val="22"/>
    </w:rPr>
  </w:style>
  <w:style w:type="character" w:customStyle="1" w:styleId="PidipaginaCarattere">
    <w:name w:val="Piè di pagina Carattere"/>
    <w:basedOn w:val="Carpredefinitoparagrafo"/>
    <w:link w:val="Pidipagina"/>
    <w:uiPriority w:val="99"/>
    <w:qFormat/>
    <w:rsid w:val="000044F2"/>
    <w:rPr>
      <w:sz w:val="22"/>
      <w:szCs w:val="22"/>
    </w:rPr>
  </w:style>
  <w:style w:type="character" w:customStyle="1" w:styleId="docssharedwiztogglelabeledlabeltext">
    <w:name w:val="docssharedwiztogglelabeledlabeltext"/>
    <w:basedOn w:val="Carpredefinitoparagrafo"/>
    <w:qFormat/>
    <w:rsid w:val="00A73607"/>
  </w:style>
  <w:style w:type="character" w:styleId="Collegamentoipertestuale">
    <w:name w:val="Hyperlink"/>
    <w:basedOn w:val="Carpredefinitoparagrafo"/>
    <w:uiPriority w:val="99"/>
    <w:unhideWhenUsed/>
    <w:rsid w:val="004C7C12"/>
    <w:rPr>
      <w:color w:val="0D2E46" w:themeColor="hyperlink"/>
      <w:u w:val="single"/>
    </w:rPr>
  </w:style>
  <w:style w:type="character" w:styleId="Menzionenonrisolta">
    <w:name w:val="Unresolved Mention"/>
    <w:basedOn w:val="Carpredefinitoparagrafo"/>
    <w:uiPriority w:val="99"/>
    <w:semiHidden/>
    <w:unhideWhenUsed/>
    <w:qFormat/>
    <w:rsid w:val="004C7C12"/>
    <w:rPr>
      <w:color w:val="605E5C"/>
      <w:shd w:val="clear" w:color="auto" w:fill="E1DFDD"/>
    </w:rPr>
  </w:style>
  <w:style w:type="character" w:styleId="Collegamentovisitato">
    <w:name w:val="FollowedHyperlink"/>
    <w:basedOn w:val="Carpredefinitoparagrafo"/>
    <w:uiPriority w:val="99"/>
    <w:semiHidden/>
    <w:unhideWhenUsed/>
    <w:rsid w:val="00D8368A"/>
    <w:rPr>
      <w:color w:val="356A95" w:themeColor="followed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link w:val="TitoloCarattere"/>
    <w:uiPriority w:val="10"/>
    <w:qFormat/>
    <w:rsid w:val="000C269A"/>
    <w:pPr>
      <w:suppressAutoHyphens w:val="0"/>
      <w:spacing w:after="0" w:line="276" w:lineRule="auto"/>
    </w:pPr>
    <w:rPr>
      <w:rFonts w:asciiTheme="majorHAnsi" w:eastAsiaTheme="majorEastAsia" w:hAnsiTheme="majorHAnsi" w:cstheme="majorBidi"/>
      <w:caps/>
      <w:color w:val="052F61" w:themeColor="accent1"/>
      <w:spacing w:val="10"/>
      <w:sz w:val="52"/>
      <w:szCs w:val="5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next w:val="Normale"/>
    <w:uiPriority w:val="35"/>
    <w:semiHidden/>
    <w:unhideWhenUsed/>
    <w:qFormat/>
    <w:rsid w:val="000C269A"/>
    <w:pPr>
      <w:suppressAutoHyphens w:val="0"/>
      <w:spacing w:before="100" w:after="200" w:line="276" w:lineRule="auto"/>
    </w:pPr>
    <w:rPr>
      <w:b/>
      <w:bCs/>
      <w:color w:val="032348" w:themeColor="accent1" w:themeShade="BF"/>
      <w:sz w:val="16"/>
      <w:szCs w:val="16"/>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0C269A"/>
    <w:pPr>
      <w:suppressAutoHyphens w:val="0"/>
      <w:spacing w:after="500" w:line="240" w:lineRule="auto"/>
    </w:pPr>
    <w:rPr>
      <w:caps/>
      <w:color w:val="595959" w:themeColor="text1" w:themeTint="A6"/>
      <w:spacing w:val="10"/>
      <w:sz w:val="21"/>
      <w:szCs w:val="21"/>
    </w:rPr>
  </w:style>
  <w:style w:type="paragraph" w:styleId="Nessunaspaziatura">
    <w:name w:val="No Spacing"/>
    <w:uiPriority w:val="1"/>
    <w:qFormat/>
    <w:rsid w:val="000C269A"/>
    <w:pPr>
      <w:spacing w:before="100"/>
    </w:pPr>
  </w:style>
  <w:style w:type="paragraph" w:styleId="Citazione">
    <w:name w:val="Quote"/>
    <w:basedOn w:val="Normale"/>
    <w:next w:val="Normale"/>
    <w:link w:val="CitazioneCarattere"/>
    <w:uiPriority w:val="29"/>
    <w:qFormat/>
    <w:rsid w:val="000C269A"/>
    <w:pPr>
      <w:suppressAutoHyphens w:val="0"/>
      <w:spacing w:before="100" w:after="200" w:line="276" w:lineRule="auto"/>
    </w:pPr>
    <w:rPr>
      <w:i/>
      <w:iCs/>
      <w:sz w:val="24"/>
      <w:szCs w:val="24"/>
    </w:rPr>
  </w:style>
  <w:style w:type="paragraph" w:styleId="Citazioneintensa">
    <w:name w:val="Intense Quote"/>
    <w:basedOn w:val="Normale"/>
    <w:next w:val="Normale"/>
    <w:link w:val="CitazioneintensaCarattere"/>
    <w:uiPriority w:val="30"/>
    <w:qFormat/>
    <w:rsid w:val="000C269A"/>
    <w:pPr>
      <w:suppressAutoHyphens w:val="0"/>
      <w:spacing w:before="240" w:after="240" w:line="240" w:lineRule="auto"/>
      <w:ind w:left="1080" w:right="1080"/>
      <w:jc w:val="center"/>
    </w:pPr>
    <w:rPr>
      <w:color w:val="052F61" w:themeColor="accent1"/>
      <w:sz w:val="24"/>
      <w:szCs w:val="24"/>
    </w:rPr>
  </w:style>
  <w:style w:type="paragraph" w:styleId="Titoloindice">
    <w:name w:val="index heading"/>
    <w:basedOn w:val="Titolo"/>
  </w:style>
  <w:style w:type="paragraph" w:styleId="Titolosommario">
    <w:name w:val="TOC Heading"/>
    <w:basedOn w:val="Titolo1"/>
    <w:next w:val="Normale"/>
    <w:uiPriority w:val="39"/>
    <w:semiHidden/>
    <w:unhideWhenUsed/>
    <w:qFormat/>
    <w:rsid w:val="000C269A"/>
    <w:pPr>
      <w:outlineLvl w:val="9"/>
    </w:pPr>
  </w:style>
  <w:style w:type="paragraph" w:customStyle="1" w:styleId="Default">
    <w:name w:val="Default"/>
    <w:qFormat/>
    <w:rsid w:val="00710135"/>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54316A"/>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44F2"/>
    <w:pPr>
      <w:tabs>
        <w:tab w:val="center" w:pos="4819"/>
        <w:tab w:val="right" w:pos="9638"/>
      </w:tabs>
      <w:spacing w:after="0" w:line="240" w:lineRule="auto"/>
    </w:pPr>
  </w:style>
  <w:style w:type="paragraph" w:styleId="Pidipagina">
    <w:name w:val="footer"/>
    <w:basedOn w:val="Normale"/>
    <w:link w:val="PidipaginaCarattere"/>
    <w:uiPriority w:val="99"/>
    <w:unhideWhenUsed/>
    <w:rsid w:val="000044F2"/>
    <w:pPr>
      <w:tabs>
        <w:tab w:val="center" w:pos="4819"/>
        <w:tab w:val="right" w:pos="9638"/>
      </w:tabs>
      <w:spacing w:after="0" w:line="240" w:lineRule="auto"/>
    </w:pPr>
  </w:style>
  <w:style w:type="paragraph" w:customStyle="1" w:styleId="Contenutotabella">
    <w:name w:val="Contenuto tabella"/>
    <w:basedOn w:val="Normale"/>
    <w:qFormat/>
    <w:rsid w:val="00A73607"/>
    <w:pPr>
      <w:widowControl w:val="0"/>
      <w:suppressLineNumbers/>
      <w:spacing w:after="0" w:line="240" w:lineRule="auto"/>
    </w:pPr>
    <w:rPr>
      <w:rFonts w:ascii="Arial" w:eastAsia="NSimSun" w:hAnsi="Arial" w:cs="Arial"/>
      <w:kern w:val="2"/>
      <w:sz w:val="24"/>
      <w:szCs w:val="24"/>
      <w:lang w:val="en-GB" w:eastAsia="zh-CN" w:bidi="hi-IN"/>
    </w:rPr>
  </w:style>
  <w:style w:type="table" w:customStyle="1" w:styleId="Tabellagriglia4-colore51">
    <w:name w:val="Tabella griglia 4 - colore 51"/>
    <w:basedOn w:val="Tabellanormale"/>
    <w:uiPriority w:val="49"/>
    <w:rsid w:val="00A73607"/>
    <w:rPr>
      <w:sz w:val="22"/>
      <w:szCs w:val="22"/>
    </w:r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insideV w:val="nil"/>
        </w:tcBorders>
        <w:shd w:val="clear" w:color="auto" w:fill="E87D37" w:themeFill="accent5"/>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E59CC-73DE-4462-A113-EC588545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1889</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Perluigi</dc:creator>
  <dc:description/>
  <cp:lastModifiedBy>Alessandra Di Giammarco</cp:lastModifiedBy>
  <cp:revision>2</cp:revision>
  <cp:lastPrinted>2023-01-30T10:26:00Z</cp:lastPrinted>
  <dcterms:created xsi:type="dcterms:W3CDTF">2023-01-30T10:26:00Z</dcterms:created>
  <dcterms:modified xsi:type="dcterms:W3CDTF">2023-01-30T10:26:00Z</dcterms:modified>
  <dc:language>it-IT</dc:language>
</cp:coreProperties>
</file>