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1755" w14:textId="77777777" w:rsidR="00094378" w:rsidRDefault="00094378" w:rsidP="00237D93">
      <w:pPr>
        <w:jc w:val="center"/>
        <w:rPr>
          <w:rFonts w:ascii="Book Antiqua" w:hAnsi="Book Antiqua"/>
          <w:b/>
          <w:bCs/>
          <w:i/>
          <w:iCs/>
          <w:sz w:val="24"/>
          <w:szCs w:val="24"/>
          <w:u w:val="single"/>
        </w:rPr>
      </w:pPr>
      <w:bookmarkStart w:id="0" w:name="_Hlk117150440"/>
    </w:p>
    <w:p w14:paraId="16E9E632" w14:textId="77777777" w:rsidR="00094378" w:rsidRDefault="00094378" w:rsidP="00237D93">
      <w:pPr>
        <w:jc w:val="center"/>
        <w:rPr>
          <w:rFonts w:ascii="Book Antiqua" w:hAnsi="Book Antiqua"/>
          <w:b/>
          <w:bCs/>
          <w:i/>
          <w:iCs/>
          <w:sz w:val="24"/>
          <w:szCs w:val="24"/>
          <w:u w:val="single"/>
        </w:rPr>
      </w:pPr>
    </w:p>
    <w:p w14:paraId="3737A81F" w14:textId="6B6F7EFC" w:rsidR="00094378" w:rsidRDefault="00094378" w:rsidP="00237D93">
      <w:pPr>
        <w:jc w:val="center"/>
        <w:rPr>
          <w:rFonts w:ascii="Book Antiqua" w:hAnsi="Book Antiqua"/>
          <w:b/>
          <w:bCs/>
          <w:i/>
          <w:iCs/>
          <w:sz w:val="24"/>
          <w:szCs w:val="24"/>
          <w:u w:val="single"/>
        </w:rPr>
      </w:pPr>
      <w:r w:rsidRPr="00094378">
        <w:rPr>
          <w:rFonts w:ascii="Book Antiqua" w:hAnsi="Book Antiqua"/>
          <w:b/>
          <w:bCs/>
          <w:i/>
          <w:iCs/>
          <w:noProof/>
          <w:sz w:val="24"/>
          <w:szCs w:val="24"/>
          <w:lang w:eastAsia="it-IT"/>
        </w:rPr>
        <w:drawing>
          <wp:inline distT="0" distB="0" distL="0" distR="0" wp14:anchorId="2F6767BC" wp14:editId="694904E4">
            <wp:extent cx="1885950" cy="1555769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850" cy="155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16A01" w14:textId="77777777" w:rsidR="00094378" w:rsidRDefault="00094378" w:rsidP="00237D93">
      <w:pPr>
        <w:jc w:val="center"/>
        <w:rPr>
          <w:rFonts w:ascii="Book Antiqua" w:hAnsi="Book Antiqua"/>
          <w:b/>
          <w:bCs/>
          <w:i/>
          <w:iCs/>
          <w:sz w:val="24"/>
          <w:szCs w:val="24"/>
          <w:u w:val="single"/>
        </w:rPr>
      </w:pPr>
    </w:p>
    <w:p w14:paraId="6DE56030" w14:textId="77777777" w:rsidR="00A44DC4" w:rsidRPr="00BF7905" w:rsidRDefault="00A44DC4" w:rsidP="00237D93">
      <w:pPr>
        <w:jc w:val="center"/>
        <w:rPr>
          <w:rFonts w:cstheme="minorHAnsi"/>
          <w:b/>
          <w:bCs/>
          <w:i/>
          <w:iCs/>
          <w:sz w:val="36"/>
          <w:szCs w:val="36"/>
        </w:rPr>
      </w:pPr>
    </w:p>
    <w:p w14:paraId="510FF9A2" w14:textId="2206BADF" w:rsidR="00744B18" w:rsidRDefault="003026AE" w:rsidP="003026AE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I bilanci delle Province 2023: analisi, dati e richieste</w:t>
      </w:r>
    </w:p>
    <w:p w14:paraId="773BBC53" w14:textId="49B4A8A6" w:rsidR="00804FD5" w:rsidRDefault="00804FD5" w:rsidP="003026AE">
      <w:pPr>
        <w:jc w:val="center"/>
        <w:rPr>
          <w:rFonts w:cstheme="minorHAnsi"/>
          <w:b/>
          <w:bCs/>
          <w:sz w:val="36"/>
          <w:szCs w:val="36"/>
        </w:rPr>
      </w:pPr>
    </w:p>
    <w:p w14:paraId="32B6C2BF" w14:textId="2859D615" w:rsidR="00804FD5" w:rsidRDefault="00804FD5" w:rsidP="003026AE">
      <w:pPr>
        <w:jc w:val="center"/>
        <w:rPr>
          <w:rFonts w:cstheme="minorHAnsi"/>
          <w:b/>
          <w:bCs/>
          <w:sz w:val="36"/>
          <w:szCs w:val="36"/>
        </w:rPr>
      </w:pPr>
    </w:p>
    <w:p w14:paraId="5250DFF9" w14:textId="03AD2C8D" w:rsidR="003026AE" w:rsidRDefault="003026AE" w:rsidP="003026AE">
      <w:pPr>
        <w:jc w:val="center"/>
        <w:rPr>
          <w:rFonts w:cstheme="minorHAnsi"/>
          <w:b/>
          <w:bCs/>
          <w:sz w:val="36"/>
          <w:szCs w:val="36"/>
        </w:rPr>
      </w:pPr>
    </w:p>
    <w:p w14:paraId="2592CF94" w14:textId="69CBE12B" w:rsidR="003026AE" w:rsidRPr="00BF7905" w:rsidRDefault="003026AE" w:rsidP="003026AE">
      <w:pPr>
        <w:jc w:val="center"/>
        <w:rPr>
          <w:rFonts w:cstheme="minorHAnsi"/>
          <w:b/>
          <w:bCs/>
        </w:rPr>
      </w:pPr>
    </w:p>
    <w:p w14:paraId="34A357DE" w14:textId="796EA601" w:rsidR="00744B18" w:rsidRPr="00BF7905" w:rsidRDefault="00744B18" w:rsidP="00237D93">
      <w:pPr>
        <w:jc w:val="both"/>
        <w:rPr>
          <w:rFonts w:cstheme="minorHAnsi"/>
          <w:b/>
          <w:bCs/>
        </w:rPr>
      </w:pPr>
    </w:p>
    <w:p w14:paraId="24E363B5" w14:textId="4274ED99" w:rsidR="00744B18" w:rsidRPr="00BF7905" w:rsidRDefault="00744B18" w:rsidP="00237D93">
      <w:pPr>
        <w:jc w:val="both"/>
        <w:rPr>
          <w:rFonts w:cstheme="minorHAnsi"/>
          <w:b/>
          <w:bCs/>
        </w:rPr>
      </w:pPr>
    </w:p>
    <w:p w14:paraId="1ACBCE11" w14:textId="17AD2098" w:rsidR="00744B18" w:rsidRPr="00BF7905" w:rsidRDefault="00744B18" w:rsidP="00237D93">
      <w:pPr>
        <w:jc w:val="both"/>
        <w:rPr>
          <w:rFonts w:cstheme="minorHAnsi"/>
          <w:b/>
          <w:bCs/>
        </w:rPr>
      </w:pPr>
    </w:p>
    <w:p w14:paraId="67C82675" w14:textId="04783C09" w:rsidR="00744B18" w:rsidRPr="00BF7905" w:rsidRDefault="00744B18" w:rsidP="00237D93">
      <w:pPr>
        <w:jc w:val="both"/>
        <w:rPr>
          <w:rFonts w:cstheme="minorHAnsi"/>
          <w:b/>
          <w:bCs/>
        </w:rPr>
      </w:pPr>
    </w:p>
    <w:p w14:paraId="13A3DD78" w14:textId="107400EA" w:rsidR="00744B18" w:rsidRPr="00BF7905" w:rsidRDefault="00744B18" w:rsidP="00237D93">
      <w:pPr>
        <w:jc w:val="both"/>
        <w:rPr>
          <w:rFonts w:cstheme="minorHAnsi"/>
          <w:b/>
          <w:bCs/>
        </w:rPr>
      </w:pPr>
    </w:p>
    <w:p w14:paraId="4D53CCF3" w14:textId="4696D757" w:rsidR="00744B18" w:rsidRPr="00BF7905" w:rsidRDefault="00744B18" w:rsidP="00237D93">
      <w:pPr>
        <w:jc w:val="both"/>
        <w:rPr>
          <w:rFonts w:cstheme="minorHAnsi"/>
          <w:b/>
          <w:bCs/>
        </w:rPr>
      </w:pPr>
    </w:p>
    <w:p w14:paraId="23D00EEE" w14:textId="7FD990A1" w:rsidR="0064494D" w:rsidRPr="00BF7905" w:rsidRDefault="0064494D" w:rsidP="00237D93">
      <w:pPr>
        <w:jc w:val="both"/>
        <w:rPr>
          <w:rFonts w:cstheme="minorHAnsi"/>
          <w:b/>
          <w:bCs/>
        </w:rPr>
      </w:pPr>
    </w:p>
    <w:p w14:paraId="588E7E54" w14:textId="6D913082" w:rsidR="0064494D" w:rsidRPr="00BF7905" w:rsidRDefault="0064494D" w:rsidP="00237D93">
      <w:pPr>
        <w:jc w:val="both"/>
        <w:rPr>
          <w:rFonts w:cstheme="minorHAnsi"/>
          <w:b/>
          <w:bCs/>
        </w:rPr>
      </w:pPr>
    </w:p>
    <w:p w14:paraId="75FEDCD1" w14:textId="4D6A25DA" w:rsidR="0064494D" w:rsidRPr="00BF7905" w:rsidRDefault="0064494D" w:rsidP="00237D93">
      <w:pPr>
        <w:jc w:val="both"/>
        <w:rPr>
          <w:rFonts w:cstheme="minorHAnsi"/>
          <w:b/>
          <w:bCs/>
        </w:rPr>
      </w:pPr>
    </w:p>
    <w:p w14:paraId="7C3AF3A2" w14:textId="7CA18D14" w:rsidR="0064494D" w:rsidRPr="00BF7905" w:rsidRDefault="0064494D" w:rsidP="00237D93">
      <w:pPr>
        <w:jc w:val="both"/>
        <w:rPr>
          <w:rFonts w:cstheme="minorHAnsi"/>
          <w:b/>
          <w:bCs/>
        </w:rPr>
      </w:pPr>
    </w:p>
    <w:p w14:paraId="5CAE2296" w14:textId="07C71166" w:rsidR="0064494D" w:rsidRDefault="0064494D" w:rsidP="00237D93">
      <w:pPr>
        <w:jc w:val="both"/>
        <w:rPr>
          <w:rFonts w:cstheme="minorHAnsi"/>
          <w:b/>
          <w:bCs/>
        </w:rPr>
      </w:pPr>
    </w:p>
    <w:p w14:paraId="7AF31B97" w14:textId="5B767022" w:rsidR="00610D6F" w:rsidRDefault="00610D6F" w:rsidP="00237D93">
      <w:pPr>
        <w:jc w:val="both"/>
        <w:rPr>
          <w:rFonts w:cstheme="minorHAnsi"/>
          <w:b/>
          <w:bCs/>
        </w:rPr>
      </w:pPr>
    </w:p>
    <w:p w14:paraId="3AB27419" w14:textId="6B1CAB63" w:rsidR="00610D6F" w:rsidRDefault="00610D6F" w:rsidP="00237D93">
      <w:pPr>
        <w:jc w:val="both"/>
        <w:rPr>
          <w:rFonts w:cstheme="minorHAnsi"/>
          <w:b/>
          <w:bCs/>
        </w:rPr>
      </w:pPr>
    </w:p>
    <w:p w14:paraId="45E7D9AB" w14:textId="6A9653C1" w:rsidR="00610D6F" w:rsidRDefault="00610D6F" w:rsidP="00237D93">
      <w:pPr>
        <w:jc w:val="both"/>
        <w:rPr>
          <w:rFonts w:cstheme="minorHAnsi"/>
          <w:b/>
          <w:bCs/>
        </w:rPr>
      </w:pPr>
    </w:p>
    <w:p w14:paraId="2417FCC4" w14:textId="77777777" w:rsidR="00610D6F" w:rsidRPr="00BF7905" w:rsidRDefault="00610D6F" w:rsidP="00237D93">
      <w:pPr>
        <w:jc w:val="both"/>
        <w:rPr>
          <w:rFonts w:cstheme="minorHAnsi"/>
          <w:b/>
          <w:bCs/>
        </w:rPr>
      </w:pPr>
    </w:p>
    <w:p w14:paraId="148648F1" w14:textId="1D65A258" w:rsidR="00744B18" w:rsidRDefault="00744B18" w:rsidP="00BF7905">
      <w:pPr>
        <w:jc w:val="center"/>
        <w:rPr>
          <w:rFonts w:cstheme="minorHAnsi"/>
          <w:b/>
          <w:bCs/>
          <w:i/>
          <w:iCs/>
        </w:rPr>
      </w:pPr>
      <w:r w:rsidRPr="00BF7905">
        <w:rPr>
          <w:rFonts w:cstheme="minorHAnsi"/>
          <w:b/>
          <w:bCs/>
          <w:i/>
          <w:iCs/>
        </w:rPr>
        <w:t xml:space="preserve">Roma, </w:t>
      </w:r>
      <w:r w:rsidR="003026AE">
        <w:rPr>
          <w:rFonts w:cstheme="minorHAnsi"/>
          <w:b/>
          <w:bCs/>
          <w:i/>
          <w:iCs/>
        </w:rPr>
        <w:t xml:space="preserve">18 gennaio </w:t>
      </w:r>
      <w:r w:rsidRPr="00BF7905">
        <w:rPr>
          <w:rFonts w:cstheme="minorHAnsi"/>
          <w:b/>
          <w:bCs/>
          <w:i/>
          <w:iCs/>
        </w:rPr>
        <w:t>202</w:t>
      </w:r>
      <w:r w:rsidR="003026AE">
        <w:rPr>
          <w:rFonts w:cstheme="minorHAnsi"/>
          <w:b/>
          <w:bCs/>
          <w:i/>
          <w:iCs/>
        </w:rPr>
        <w:t>3</w:t>
      </w:r>
    </w:p>
    <w:p w14:paraId="4FD564F1" w14:textId="488E646A" w:rsidR="00610D6F" w:rsidRDefault="00610D6F" w:rsidP="00BF7905">
      <w:pPr>
        <w:jc w:val="center"/>
        <w:rPr>
          <w:rFonts w:cstheme="minorHAnsi"/>
          <w:b/>
          <w:bCs/>
          <w:i/>
          <w:iCs/>
        </w:rPr>
      </w:pPr>
    </w:p>
    <w:p w14:paraId="19AF21CF" w14:textId="6EB0B9DE" w:rsidR="00610D6F" w:rsidRDefault="00610D6F" w:rsidP="00BF7905">
      <w:pPr>
        <w:jc w:val="center"/>
        <w:rPr>
          <w:rFonts w:cstheme="minorHAnsi"/>
          <w:b/>
          <w:bCs/>
          <w:i/>
          <w:iCs/>
        </w:rPr>
      </w:pPr>
    </w:p>
    <w:p w14:paraId="1FDE3B14" w14:textId="2B8D2C62" w:rsidR="00610D6F" w:rsidRDefault="00610D6F" w:rsidP="00BF7905">
      <w:pPr>
        <w:jc w:val="center"/>
        <w:rPr>
          <w:rFonts w:cstheme="minorHAnsi"/>
          <w:b/>
          <w:bCs/>
          <w:i/>
          <w:iCs/>
        </w:rPr>
      </w:pPr>
    </w:p>
    <w:p w14:paraId="61EC7554" w14:textId="475E0D87" w:rsidR="00610D6F" w:rsidRDefault="00610D6F" w:rsidP="00BF7905">
      <w:pPr>
        <w:jc w:val="center"/>
        <w:rPr>
          <w:rFonts w:cstheme="minorHAnsi"/>
          <w:b/>
          <w:bCs/>
          <w:i/>
          <w:iCs/>
        </w:rPr>
      </w:pPr>
    </w:p>
    <w:p w14:paraId="47A5539C" w14:textId="23C23234" w:rsidR="00735A2E" w:rsidRPr="00BF7905" w:rsidRDefault="00735A2E" w:rsidP="007141B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279EAAC" w14:textId="007A727B" w:rsidR="00A634AD" w:rsidRPr="00BF7905" w:rsidRDefault="00735A2E" w:rsidP="00735A2E">
      <w:pPr>
        <w:pStyle w:val="Paragrafoelenco"/>
        <w:numPr>
          <w:ilvl w:val="0"/>
          <w:numId w:val="14"/>
        </w:numPr>
        <w:jc w:val="both"/>
        <w:rPr>
          <w:rFonts w:cstheme="minorHAnsi"/>
          <w:b/>
          <w:bCs/>
          <w:sz w:val="26"/>
          <w:szCs w:val="26"/>
        </w:rPr>
      </w:pPr>
      <w:r w:rsidRPr="00BF7905">
        <w:rPr>
          <w:rFonts w:cstheme="minorHAnsi"/>
          <w:b/>
          <w:bCs/>
          <w:sz w:val="26"/>
          <w:szCs w:val="26"/>
        </w:rPr>
        <w:t xml:space="preserve">Il quadro </w:t>
      </w:r>
      <w:r w:rsidR="00A634AD" w:rsidRPr="00BF7905">
        <w:rPr>
          <w:rFonts w:cstheme="minorHAnsi"/>
          <w:b/>
          <w:bCs/>
          <w:sz w:val="26"/>
          <w:szCs w:val="26"/>
        </w:rPr>
        <w:t>economico finanziari</w:t>
      </w:r>
      <w:r w:rsidR="00C1765F" w:rsidRPr="00BF7905">
        <w:rPr>
          <w:rFonts w:cstheme="minorHAnsi"/>
          <w:b/>
          <w:bCs/>
          <w:sz w:val="26"/>
          <w:szCs w:val="26"/>
        </w:rPr>
        <w:t>o</w:t>
      </w:r>
      <w:r w:rsidR="00A634AD" w:rsidRPr="00BF7905">
        <w:rPr>
          <w:rFonts w:cstheme="minorHAnsi"/>
          <w:b/>
          <w:bCs/>
          <w:sz w:val="26"/>
          <w:szCs w:val="26"/>
        </w:rPr>
        <w:t xml:space="preserve"> delle </w:t>
      </w:r>
      <w:r w:rsidRPr="00BF7905">
        <w:rPr>
          <w:rFonts w:cstheme="minorHAnsi"/>
          <w:b/>
          <w:bCs/>
          <w:sz w:val="26"/>
          <w:szCs w:val="26"/>
        </w:rPr>
        <w:t>Province e gli interventi necessari</w:t>
      </w:r>
    </w:p>
    <w:p w14:paraId="68B51142" w14:textId="77777777" w:rsidR="00735A2E" w:rsidRPr="00BF7905" w:rsidRDefault="00735A2E" w:rsidP="00735A2E">
      <w:pPr>
        <w:pStyle w:val="Paragrafoelenco"/>
        <w:jc w:val="both"/>
        <w:rPr>
          <w:rFonts w:cstheme="minorHAnsi"/>
          <w:b/>
          <w:bCs/>
          <w:sz w:val="28"/>
          <w:szCs w:val="28"/>
        </w:rPr>
      </w:pPr>
    </w:p>
    <w:p w14:paraId="70D07F40" w14:textId="1B0BFE09" w:rsidR="00735A2E" w:rsidRPr="00BF7905" w:rsidRDefault="00735A2E" w:rsidP="007141B9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BF7905">
        <w:rPr>
          <w:rFonts w:cstheme="minorHAnsi"/>
          <w:b/>
          <w:bCs/>
          <w:sz w:val="24"/>
          <w:szCs w:val="24"/>
        </w:rPr>
        <w:t xml:space="preserve">Il gap tra entrate e fabbisogni standard accertato dalla CTFS </w:t>
      </w:r>
    </w:p>
    <w:p w14:paraId="05B5F304" w14:textId="77777777" w:rsidR="007141B9" w:rsidRDefault="007141B9" w:rsidP="007141B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8865AC" w14:textId="0705D480" w:rsidR="0097155D" w:rsidRDefault="001370A6" w:rsidP="007141B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F7905">
        <w:rPr>
          <w:rFonts w:cstheme="minorHAnsi"/>
          <w:sz w:val="24"/>
          <w:szCs w:val="24"/>
        </w:rPr>
        <w:t xml:space="preserve">La situazione di parte corrente delle Province </w:t>
      </w:r>
      <w:r w:rsidR="00C30231" w:rsidRPr="00BF7905">
        <w:rPr>
          <w:rFonts w:cstheme="minorHAnsi"/>
          <w:sz w:val="24"/>
          <w:szCs w:val="24"/>
        </w:rPr>
        <w:t xml:space="preserve">è </w:t>
      </w:r>
      <w:r w:rsidRPr="00BF7905">
        <w:rPr>
          <w:rFonts w:cstheme="minorHAnsi"/>
          <w:sz w:val="24"/>
          <w:szCs w:val="24"/>
        </w:rPr>
        <w:t xml:space="preserve">di assoluta criticità. </w:t>
      </w:r>
      <w:r w:rsidR="00BF7905" w:rsidRPr="00BF7905">
        <w:rPr>
          <w:rFonts w:cstheme="minorHAnsi"/>
          <w:sz w:val="24"/>
          <w:szCs w:val="24"/>
        </w:rPr>
        <w:t xml:space="preserve"> </w:t>
      </w:r>
      <w:r w:rsidR="000E1EE1" w:rsidRPr="00BF7905">
        <w:rPr>
          <w:rFonts w:cstheme="minorHAnsi"/>
          <w:b/>
          <w:bCs/>
          <w:sz w:val="24"/>
          <w:szCs w:val="24"/>
        </w:rPr>
        <w:t xml:space="preserve">Il gap </w:t>
      </w:r>
      <w:r w:rsidR="006225AC" w:rsidRPr="00BF7905">
        <w:rPr>
          <w:rFonts w:cstheme="minorHAnsi"/>
          <w:b/>
          <w:bCs/>
          <w:sz w:val="24"/>
          <w:szCs w:val="24"/>
        </w:rPr>
        <w:t>tra le entrate proprie delle Province (e CM)</w:t>
      </w:r>
      <w:r w:rsidR="00C1765F" w:rsidRPr="00BF7905">
        <w:rPr>
          <w:rFonts w:cstheme="minorHAnsi"/>
          <w:b/>
          <w:bCs/>
          <w:sz w:val="24"/>
          <w:szCs w:val="24"/>
        </w:rPr>
        <w:t xml:space="preserve">, </w:t>
      </w:r>
      <w:r w:rsidR="006225AC" w:rsidRPr="00BF7905">
        <w:rPr>
          <w:rFonts w:cstheme="minorHAnsi"/>
          <w:b/>
          <w:bCs/>
          <w:sz w:val="24"/>
          <w:szCs w:val="24"/>
        </w:rPr>
        <w:t>i</w:t>
      </w:r>
      <w:r w:rsidR="000E1EE1" w:rsidRPr="00BF7905">
        <w:rPr>
          <w:rFonts w:cstheme="minorHAnsi"/>
          <w:b/>
          <w:bCs/>
          <w:sz w:val="24"/>
          <w:szCs w:val="24"/>
        </w:rPr>
        <w:t>l</w:t>
      </w:r>
      <w:r w:rsidR="006225AC" w:rsidRPr="00BF7905">
        <w:rPr>
          <w:rFonts w:cstheme="minorHAnsi"/>
          <w:b/>
          <w:bCs/>
          <w:sz w:val="24"/>
          <w:szCs w:val="24"/>
        </w:rPr>
        <w:t xml:space="preserve"> loro fabbisogno standard</w:t>
      </w:r>
      <w:r w:rsidR="00C1765F" w:rsidRPr="00BF7905">
        <w:rPr>
          <w:rFonts w:cstheme="minorHAnsi"/>
          <w:b/>
          <w:bCs/>
          <w:sz w:val="24"/>
          <w:szCs w:val="24"/>
        </w:rPr>
        <w:t xml:space="preserve"> e il contributo alla finanza pubblica,</w:t>
      </w:r>
      <w:r w:rsidR="006225AC" w:rsidRPr="00BF7905">
        <w:rPr>
          <w:rFonts w:cstheme="minorHAnsi"/>
          <w:sz w:val="24"/>
          <w:szCs w:val="24"/>
        </w:rPr>
        <w:t xml:space="preserve"> </w:t>
      </w:r>
      <w:r w:rsidR="000E1EE1" w:rsidRPr="00BF7905">
        <w:rPr>
          <w:rFonts w:cstheme="minorHAnsi"/>
          <w:sz w:val="24"/>
          <w:szCs w:val="24"/>
        </w:rPr>
        <w:t xml:space="preserve">come certificato dalla </w:t>
      </w:r>
      <w:r w:rsidR="00C1765F" w:rsidRPr="00BF7905">
        <w:rPr>
          <w:rFonts w:cstheme="minorHAnsi"/>
          <w:sz w:val="24"/>
          <w:szCs w:val="24"/>
        </w:rPr>
        <w:t>Commissione</w:t>
      </w:r>
      <w:r w:rsidR="00735A2E" w:rsidRPr="00BF7905">
        <w:rPr>
          <w:rFonts w:cstheme="minorHAnsi"/>
          <w:sz w:val="24"/>
          <w:szCs w:val="24"/>
        </w:rPr>
        <w:t xml:space="preserve"> Tecnica per i Fabbisogni Standard (CTFS)</w:t>
      </w:r>
      <w:r w:rsidR="000E1EE1" w:rsidRPr="00BF7905">
        <w:rPr>
          <w:rFonts w:cstheme="minorHAnsi"/>
          <w:sz w:val="24"/>
          <w:szCs w:val="24"/>
        </w:rPr>
        <w:t xml:space="preserve"> ammonta ad </w:t>
      </w:r>
      <w:r w:rsidR="003A16EF" w:rsidRPr="00BF7905">
        <w:rPr>
          <w:rFonts w:cstheme="minorHAnsi"/>
          <w:b/>
          <w:bCs/>
          <w:sz w:val="24"/>
          <w:szCs w:val="24"/>
        </w:rPr>
        <w:t xml:space="preserve">842 milioni </w:t>
      </w:r>
      <w:r w:rsidR="0097155D" w:rsidRPr="00BF7905">
        <w:rPr>
          <w:rFonts w:cstheme="minorHAnsi"/>
          <w:b/>
          <w:bCs/>
          <w:sz w:val="24"/>
          <w:szCs w:val="24"/>
        </w:rPr>
        <w:t xml:space="preserve">di euro </w:t>
      </w:r>
      <w:r w:rsidR="003A16EF" w:rsidRPr="00BF7905">
        <w:rPr>
          <w:rFonts w:cstheme="minorHAnsi"/>
          <w:b/>
          <w:bCs/>
          <w:sz w:val="24"/>
          <w:szCs w:val="24"/>
        </w:rPr>
        <w:t>per le Province</w:t>
      </w:r>
      <w:r w:rsidR="003A16EF" w:rsidRPr="00BF7905">
        <w:rPr>
          <w:rFonts w:cstheme="minorHAnsi"/>
          <w:sz w:val="24"/>
          <w:szCs w:val="24"/>
        </w:rPr>
        <w:t xml:space="preserve"> </w:t>
      </w:r>
      <w:r w:rsidR="0097155D" w:rsidRPr="00BF7905">
        <w:rPr>
          <w:rFonts w:cstheme="minorHAnsi"/>
          <w:sz w:val="24"/>
          <w:szCs w:val="24"/>
        </w:rPr>
        <w:t>(</w:t>
      </w:r>
      <w:r w:rsidR="003A16EF" w:rsidRPr="00BF7905">
        <w:rPr>
          <w:rFonts w:cstheme="minorHAnsi"/>
          <w:sz w:val="24"/>
          <w:szCs w:val="24"/>
        </w:rPr>
        <w:t xml:space="preserve">e 303 </w:t>
      </w:r>
      <w:r w:rsidR="0097155D" w:rsidRPr="00BF7905">
        <w:rPr>
          <w:rFonts w:cstheme="minorHAnsi"/>
          <w:sz w:val="24"/>
          <w:szCs w:val="24"/>
        </w:rPr>
        <w:t xml:space="preserve">milioni </w:t>
      </w:r>
      <w:r w:rsidR="003A16EF" w:rsidRPr="00BF7905">
        <w:rPr>
          <w:rFonts w:cstheme="minorHAnsi"/>
          <w:sz w:val="24"/>
          <w:szCs w:val="24"/>
        </w:rPr>
        <w:t>per le CM)</w:t>
      </w:r>
      <w:r w:rsidR="0097155D" w:rsidRPr="00BF7905">
        <w:rPr>
          <w:rFonts w:cstheme="minorHAnsi"/>
          <w:sz w:val="24"/>
          <w:szCs w:val="24"/>
        </w:rPr>
        <w:t xml:space="preserve">. </w:t>
      </w:r>
      <w:r w:rsidR="006225AC" w:rsidRPr="00BF7905">
        <w:rPr>
          <w:rFonts w:cstheme="minorHAnsi"/>
          <w:sz w:val="24"/>
          <w:szCs w:val="24"/>
        </w:rPr>
        <w:t xml:space="preserve"> </w:t>
      </w:r>
    </w:p>
    <w:p w14:paraId="7109F548" w14:textId="77777777" w:rsidR="007141B9" w:rsidRPr="00BF7905" w:rsidRDefault="007141B9" w:rsidP="003A16EF">
      <w:pPr>
        <w:jc w:val="both"/>
        <w:rPr>
          <w:rFonts w:cstheme="minorHAnsi"/>
          <w:sz w:val="24"/>
          <w:szCs w:val="24"/>
        </w:rPr>
      </w:pPr>
    </w:p>
    <w:tbl>
      <w:tblPr>
        <w:tblStyle w:val="Tabellagriglia4-colore1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52867" w14:paraId="667A35B4" w14:textId="77777777" w:rsidTr="00252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auto"/>
          </w:tcPr>
          <w:p w14:paraId="3569A147" w14:textId="77777777" w:rsidR="00252867" w:rsidRPr="00252867" w:rsidRDefault="00252867" w:rsidP="003A16EF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2407" w:type="dxa"/>
          </w:tcPr>
          <w:p w14:paraId="305CFC6E" w14:textId="14770230" w:rsidR="00252867" w:rsidRDefault="00252867" w:rsidP="002528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Province</w:t>
            </w:r>
          </w:p>
        </w:tc>
        <w:tc>
          <w:tcPr>
            <w:tcW w:w="2407" w:type="dxa"/>
          </w:tcPr>
          <w:p w14:paraId="7A4CE76B" w14:textId="61B1EE33" w:rsidR="00252867" w:rsidRDefault="00252867" w:rsidP="002528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Città Metropolitane</w:t>
            </w:r>
          </w:p>
        </w:tc>
        <w:tc>
          <w:tcPr>
            <w:tcW w:w="2407" w:type="dxa"/>
          </w:tcPr>
          <w:p w14:paraId="7356DD71" w14:textId="4F4572D6" w:rsidR="00252867" w:rsidRDefault="00252867" w:rsidP="002528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TOTALE</w:t>
            </w:r>
          </w:p>
        </w:tc>
      </w:tr>
      <w:tr w:rsidR="00252867" w14:paraId="240BB9BC" w14:textId="77777777" w:rsidTr="00252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796B2BC1" w14:textId="7052C2A7" w:rsidR="00252867" w:rsidRPr="00252867" w:rsidRDefault="00252867" w:rsidP="003A16E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252867">
              <w:rPr>
                <w:rFonts w:ascii="Book Antiqua" w:hAnsi="Book Antiqua"/>
                <w:sz w:val="20"/>
                <w:szCs w:val="20"/>
              </w:rPr>
              <w:t>Fabbisogni standard</w:t>
            </w:r>
          </w:p>
        </w:tc>
        <w:tc>
          <w:tcPr>
            <w:tcW w:w="2407" w:type="dxa"/>
          </w:tcPr>
          <w:p w14:paraId="1F7A8480" w14:textId="526D0075" w:rsidR="00252867" w:rsidRPr="00252867" w:rsidRDefault="00252867" w:rsidP="00252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  <w:r w:rsidRPr="00252867">
              <w:rPr>
                <w:rFonts w:ascii="Book Antiqua" w:hAnsi="Book Antiqua"/>
                <w:sz w:val="20"/>
                <w:szCs w:val="20"/>
              </w:rPr>
              <w:t>1.849.185.619</w:t>
            </w:r>
          </w:p>
        </w:tc>
        <w:tc>
          <w:tcPr>
            <w:tcW w:w="2407" w:type="dxa"/>
          </w:tcPr>
          <w:p w14:paraId="3A39DFDE" w14:textId="31022B5E" w:rsidR="00252867" w:rsidRPr="00252867" w:rsidRDefault="00252867" w:rsidP="00252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  <w:r w:rsidRPr="00252867">
              <w:rPr>
                <w:rFonts w:ascii="Book Antiqua" w:hAnsi="Book Antiqua"/>
                <w:sz w:val="20"/>
                <w:szCs w:val="20"/>
              </w:rPr>
              <w:t>922.131.047</w:t>
            </w:r>
          </w:p>
        </w:tc>
        <w:tc>
          <w:tcPr>
            <w:tcW w:w="2407" w:type="dxa"/>
          </w:tcPr>
          <w:p w14:paraId="594E186B" w14:textId="37B7EB52" w:rsidR="00252867" w:rsidRPr="00252867" w:rsidRDefault="00252867" w:rsidP="00252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  <w:r w:rsidRPr="00252867">
              <w:rPr>
                <w:rFonts w:ascii="Book Antiqua" w:hAnsi="Book Antiqua"/>
                <w:sz w:val="20"/>
                <w:szCs w:val="20"/>
              </w:rPr>
              <w:t>2.771.316.666</w:t>
            </w:r>
          </w:p>
        </w:tc>
      </w:tr>
      <w:tr w:rsidR="00252867" w14:paraId="231274CE" w14:textId="77777777" w:rsidTr="0025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70E1143F" w14:textId="78856F94" w:rsidR="00252867" w:rsidRPr="00252867" w:rsidRDefault="00252867" w:rsidP="003A16E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252867">
              <w:rPr>
                <w:rFonts w:ascii="Book Antiqua" w:hAnsi="Book Antiqua"/>
                <w:sz w:val="20"/>
                <w:szCs w:val="20"/>
              </w:rPr>
              <w:t>Capacità fiscali</w:t>
            </w:r>
          </w:p>
        </w:tc>
        <w:tc>
          <w:tcPr>
            <w:tcW w:w="2407" w:type="dxa"/>
          </w:tcPr>
          <w:p w14:paraId="05D2A283" w14:textId="6409AAA8" w:rsidR="00252867" w:rsidRPr="00252867" w:rsidRDefault="00252867" w:rsidP="00252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  <w:r w:rsidRPr="00252867">
              <w:rPr>
                <w:rFonts w:ascii="Book Antiqua" w:hAnsi="Book Antiqua"/>
                <w:sz w:val="20"/>
                <w:szCs w:val="20"/>
              </w:rPr>
              <w:t>1.943.460.660</w:t>
            </w:r>
          </w:p>
        </w:tc>
        <w:tc>
          <w:tcPr>
            <w:tcW w:w="2407" w:type="dxa"/>
          </w:tcPr>
          <w:p w14:paraId="7CB1252C" w14:textId="738CF9C7" w:rsidR="00252867" w:rsidRPr="00252867" w:rsidRDefault="00252867" w:rsidP="00252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  <w:r w:rsidRPr="00252867">
              <w:rPr>
                <w:rFonts w:ascii="Book Antiqua" w:hAnsi="Book Antiqua"/>
                <w:sz w:val="20"/>
                <w:szCs w:val="20"/>
              </w:rPr>
              <w:t>1.117.321.388</w:t>
            </w:r>
          </w:p>
        </w:tc>
        <w:tc>
          <w:tcPr>
            <w:tcW w:w="2407" w:type="dxa"/>
          </w:tcPr>
          <w:p w14:paraId="32EC01EB" w14:textId="21F426B2" w:rsidR="00252867" w:rsidRPr="00252867" w:rsidRDefault="00252867" w:rsidP="00252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  <w:r w:rsidRPr="00252867">
              <w:rPr>
                <w:rFonts w:ascii="Book Antiqua" w:hAnsi="Book Antiqua"/>
                <w:sz w:val="20"/>
                <w:szCs w:val="20"/>
              </w:rPr>
              <w:t>3.060.782.049</w:t>
            </w:r>
          </w:p>
        </w:tc>
      </w:tr>
      <w:tr w:rsidR="00252867" w14:paraId="6036A4D6" w14:textId="77777777" w:rsidTr="00252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1617D3E9" w14:textId="356B8D21" w:rsidR="00252867" w:rsidRPr="00252867" w:rsidRDefault="00252867" w:rsidP="003A16E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252867">
              <w:rPr>
                <w:rFonts w:ascii="Book Antiqua" w:hAnsi="Book Antiqua"/>
                <w:sz w:val="20"/>
                <w:szCs w:val="20"/>
              </w:rPr>
              <w:t>Concorso netto alla finanza pubblica 2021</w:t>
            </w:r>
          </w:p>
        </w:tc>
        <w:tc>
          <w:tcPr>
            <w:tcW w:w="2407" w:type="dxa"/>
          </w:tcPr>
          <w:p w14:paraId="2B2959A7" w14:textId="5652127B" w:rsidR="00252867" w:rsidRPr="00252867" w:rsidRDefault="00252867" w:rsidP="00252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  <w:r w:rsidRPr="00252867">
              <w:rPr>
                <w:rFonts w:ascii="Book Antiqua" w:hAnsi="Book Antiqua"/>
                <w:sz w:val="20"/>
                <w:szCs w:val="20"/>
              </w:rPr>
              <w:t>-936.221.702</w:t>
            </w:r>
          </w:p>
        </w:tc>
        <w:tc>
          <w:tcPr>
            <w:tcW w:w="2407" w:type="dxa"/>
          </w:tcPr>
          <w:p w14:paraId="6C61247F" w14:textId="66D661D2" w:rsidR="00252867" w:rsidRPr="00252867" w:rsidRDefault="00252867" w:rsidP="00252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  <w:r w:rsidRPr="00252867">
              <w:rPr>
                <w:rFonts w:ascii="Book Antiqua" w:hAnsi="Book Antiqua"/>
                <w:sz w:val="20"/>
                <w:szCs w:val="20"/>
              </w:rPr>
              <w:t>-498.956.711</w:t>
            </w:r>
          </w:p>
        </w:tc>
        <w:tc>
          <w:tcPr>
            <w:tcW w:w="2407" w:type="dxa"/>
          </w:tcPr>
          <w:p w14:paraId="65C20B41" w14:textId="7E78C5C3" w:rsidR="00252867" w:rsidRPr="00252867" w:rsidRDefault="00252867" w:rsidP="00252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  <w:r w:rsidRPr="00252867">
              <w:rPr>
                <w:rFonts w:ascii="Book Antiqua" w:hAnsi="Book Antiqua"/>
                <w:sz w:val="20"/>
                <w:szCs w:val="20"/>
              </w:rPr>
              <w:t>-1.435.178.413</w:t>
            </w:r>
          </w:p>
        </w:tc>
      </w:tr>
      <w:tr w:rsidR="00252867" w14:paraId="09EC9C6F" w14:textId="77777777" w:rsidTr="0025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C00000"/>
          </w:tcPr>
          <w:p w14:paraId="2B5E98FC" w14:textId="3809A482" w:rsidR="00252867" w:rsidRPr="00252867" w:rsidRDefault="00252867" w:rsidP="003A16EF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SQUILIBRIO DI COMPARTO</w:t>
            </w:r>
          </w:p>
        </w:tc>
        <w:tc>
          <w:tcPr>
            <w:tcW w:w="2407" w:type="dxa"/>
          </w:tcPr>
          <w:p w14:paraId="671FBCF5" w14:textId="1AD6FC55" w:rsidR="00252867" w:rsidRPr="00252867" w:rsidRDefault="00252867" w:rsidP="00252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52867">
              <w:rPr>
                <w:rFonts w:ascii="Book Antiqua" w:hAnsi="Book Antiqua"/>
                <w:b/>
                <w:bCs/>
                <w:sz w:val="24"/>
                <w:szCs w:val="24"/>
              </w:rPr>
              <w:t>-841.946.661</w:t>
            </w:r>
          </w:p>
        </w:tc>
        <w:tc>
          <w:tcPr>
            <w:tcW w:w="2407" w:type="dxa"/>
          </w:tcPr>
          <w:p w14:paraId="47A0F2CC" w14:textId="764D6E5B" w:rsidR="00252867" w:rsidRPr="00252867" w:rsidRDefault="00252867" w:rsidP="00252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52867">
              <w:rPr>
                <w:rFonts w:ascii="Book Antiqua" w:hAnsi="Book Antiqua"/>
                <w:b/>
                <w:bCs/>
                <w:sz w:val="24"/>
                <w:szCs w:val="24"/>
              </w:rPr>
              <w:t>-303.766.370</w:t>
            </w:r>
          </w:p>
        </w:tc>
        <w:tc>
          <w:tcPr>
            <w:tcW w:w="2407" w:type="dxa"/>
          </w:tcPr>
          <w:p w14:paraId="048F5641" w14:textId="45BE4CBE" w:rsidR="00252867" w:rsidRPr="00252867" w:rsidRDefault="00252867" w:rsidP="00252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52867">
              <w:rPr>
                <w:rFonts w:ascii="Book Antiqua" w:hAnsi="Book Antiqua"/>
                <w:b/>
                <w:bCs/>
                <w:sz w:val="24"/>
                <w:szCs w:val="24"/>
              </w:rPr>
              <w:t>-1.145.713.031</w:t>
            </w:r>
          </w:p>
        </w:tc>
      </w:tr>
    </w:tbl>
    <w:p w14:paraId="5D173687" w14:textId="474FC4A1" w:rsidR="0097155D" w:rsidRPr="00735A2E" w:rsidRDefault="0097155D" w:rsidP="003A16EF">
      <w:pPr>
        <w:jc w:val="both"/>
        <w:rPr>
          <w:rFonts w:ascii="Book Antiqua" w:hAnsi="Book Antiqua"/>
          <w:sz w:val="24"/>
          <w:szCs w:val="24"/>
        </w:rPr>
      </w:pPr>
    </w:p>
    <w:p w14:paraId="33962475" w14:textId="4C059C28" w:rsidR="0097155D" w:rsidRPr="007141B9" w:rsidRDefault="0097155D" w:rsidP="00714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7141B9">
        <w:rPr>
          <w:rFonts w:cstheme="minorHAnsi"/>
          <w:sz w:val="24"/>
          <w:szCs w:val="24"/>
        </w:rPr>
        <w:t xml:space="preserve">Ad oggi il </w:t>
      </w:r>
      <w:r w:rsidR="008D0218" w:rsidRPr="007141B9">
        <w:rPr>
          <w:rFonts w:cstheme="minorHAnsi"/>
          <w:sz w:val="24"/>
          <w:szCs w:val="24"/>
        </w:rPr>
        <w:t>l</w:t>
      </w:r>
      <w:r w:rsidRPr="007141B9">
        <w:rPr>
          <w:rFonts w:cstheme="minorHAnsi"/>
          <w:sz w:val="24"/>
          <w:szCs w:val="24"/>
        </w:rPr>
        <w:t>egislatore ha messo a disposizione per</w:t>
      </w:r>
      <w:r w:rsidR="003D4C54" w:rsidRPr="007141B9">
        <w:rPr>
          <w:rFonts w:cstheme="minorHAnsi"/>
          <w:sz w:val="24"/>
          <w:szCs w:val="24"/>
        </w:rPr>
        <w:t xml:space="preserve"> le Province</w:t>
      </w:r>
      <w:r w:rsidR="005476CB" w:rsidRPr="007141B9">
        <w:rPr>
          <w:rFonts w:cstheme="minorHAnsi"/>
          <w:sz w:val="24"/>
          <w:szCs w:val="24"/>
        </w:rPr>
        <w:t xml:space="preserve"> 58 milioni per </w:t>
      </w:r>
      <w:r w:rsidRPr="007141B9">
        <w:rPr>
          <w:rFonts w:cstheme="minorHAnsi"/>
          <w:sz w:val="24"/>
          <w:szCs w:val="24"/>
        </w:rPr>
        <w:t>il 2022</w:t>
      </w:r>
      <w:r w:rsidR="005476CB" w:rsidRPr="007141B9">
        <w:rPr>
          <w:rFonts w:cstheme="minorHAnsi"/>
          <w:sz w:val="24"/>
          <w:szCs w:val="24"/>
        </w:rPr>
        <w:t xml:space="preserve">, 73 milioni </w:t>
      </w:r>
      <w:r w:rsidRPr="007141B9">
        <w:rPr>
          <w:rFonts w:cstheme="minorHAnsi"/>
          <w:sz w:val="24"/>
          <w:szCs w:val="24"/>
        </w:rPr>
        <w:t xml:space="preserve">per il 2023 </w:t>
      </w:r>
      <w:r w:rsidR="005476CB" w:rsidRPr="007141B9">
        <w:rPr>
          <w:rFonts w:cstheme="minorHAnsi"/>
          <w:sz w:val="24"/>
          <w:szCs w:val="24"/>
        </w:rPr>
        <w:t xml:space="preserve">e 95 milioni </w:t>
      </w:r>
      <w:r w:rsidRPr="007141B9">
        <w:rPr>
          <w:rFonts w:cstheme="minorHAnsi"/>
          <w:sz w:val="24"/>
          <w:szCs w:val="24"/>
        </w:rPr>
        <w:t>per il 2024</w:t>
      </w:r>
      <w:r w:rsidR="003D4C54" w:rsidRPr="007141B9">
        <w:rPr>
          <w:rFonts w:cstheme="minorHAnsi"/>
          <w:sz w:val="24"/>
          <w:szCs w:val="24"/>
        </w:rPr>
        <w:t xml:space="preserve">, </w:t>
      </w:r>
      <w:r w:rsidR="005476CB" w:rsidRPr="007141B9">
        <w:rPr>
          <w:rFonts w:cstheme="minorHAnsi"/>
          <w:sz w:val="24"/>
          <w:szCs w:val="24"/>
        </w:rPr>
        <w:t xml:space="preserve"> </w:t>
      </w:r>
      <w:r w:rsidRPr="007141B9">
        <w:rPr>
          <w:rFonts w:cstheme="minorHAnsi"/>
          <w:b/>
          <w:bCs/>
          <w:sz w:val="24"/>
          <w:szCs w:val="24"/>
        </w:rPr>
        <w:t>per arrivare al 2031 ad</w:t>
      </w:r>
      <w:r w:rsidR="00EA2F53" w:rsidRPr="007141B9">
        <w:rPr>
          <w:rFonts w:cstheme="minorHAnsi"/>
          <w:b/>
          <w:bCs/>
          <w:sz w:val="24"/>
          <w:szCs w:val="24"/>
        </w:rPr>
        <w:t xml:space="preserve"> assegnare alle Province solo </w:t>
      </w:r>
      <w:r w:rsidR="003D4C54" w:rsidRPr="007141B9">
        <w:rPr>
          <w:rFonts w:cstheme="minorHAnsi"/>
          <w:b/>
          <w:bCs/>
          <w:sz w:val="24"/>
          <w:szCs w:val="24"/>
          <w:u w:val="single"/>
        </w:rPr>
        <w:t xml:space="preserve">438 milioni, </w:t>
      </w:r>
      <w:r w:rsidRPr="007141B9">
        <w:rPr>
          <w:rFonts w:cstheme="minorHAnsi"/>
          <w:b/>
          <w:bCs/>
          <w:sz w:val="24"/>
          <w:szCs w:val="24"/>
          <w:u w:val="single"/>
        </w:rPr>
        <w:t xml:space="preserve"> coprendo quindi</w:t>
      </w:r>
      <w:r w:rsidR="00EA2F53" w:rsidRPr="007141B9">
        <w:rPr>
          <w:rFonts w:cstheme="minorHAnsi"/>
          <w:b/>
          <w:bCs/>
          <w:sz w:val="24"/>
          <w:szCs w:val="24"/>
          <w:u w:val="single"/>
        </w:rPr>
        <w:t xml:space="preserve"> solo </w:t>
      </w:r>
      <w:r w:rsidRPr="007141B9">
        <w:rPr>
          <w:rFonts w:cstheme="minorHAnsi"/>
          <w:b/>
          <w:bCs/>
          <w:sz w:val="24"/>
          <w:szCs w:val="24"/>
          <w:u w:val="single"/>
        </w:rPr>
        <w:t xml:space="preserve"> il </w:t>
      </w:r>
      <w:r w:rsidR="003D4C54" w:rsidRPr="007141B9">
        <w:rPr>
          <w:rFonts w:cstheme="minorHAnsi"/>
          <w:b/>
          <w:bCs/>
          <w:sz w:val="24"/>
          <w:szCs w:val="24"/>
          <w:u w:val="single"/>
        </w:rPr>
        <w:t xml:space="preserve">50% </w:t>
      </w:r>
      <w:r w:rsidRPr="007141B9">
        <w:rPr>
          <w:rFonts w:cstheme="minorHAnsi"/>
          <w:b/>
          <w:bCs/>
          <w:sz w:val="24"/>
          <w:szCs w:val="24"/>
          <w:u w:val="single"/>
        </w:rPr>
        <w:t>dello squilibrio</w:t>
      </w:r>
      <w:r w:rsidR="00C1765F" w:rsidRPr="007141B9">
        <w:rPr>
          <w:rFonts w:cstheme="minorHAnsi"/>
          <w:sz w:val="24"/>
          <w:szCs w:val="24"/>
        </w:rPr>
        <w:t>. (</w:t>
      </w:r>
      <w:r w:rsidR="00C1765F" w:rsidRPr="007141B9">
        <w:rPr>
          <w:rFonts w:cstheme="minorHAnsi"/>
          <w:i/>
          <w:iCs/>
          <w:sz w:val="24"/>
          <w:szCs w:val="24"/>
        </w:rPr>
        <w:t xml:space="preserve">Fondo ex articolo 1, comma 561, della legge di bilancio 2022 n. 234/2021: 600 milioni di cui 438 per le Province e 162 per le CM).  </w:t>
      </w:r>
    </w:p>
    <w:p w14:paraId="0E4476D0" w14:textId="77777777" w:rsidR="00EA2F53" w:rsidRPr="007141B9" w:rsidRDefault="00EA2F53" w:rsidP="00EA2F53">
      <w:pPr>
        <w:jc w:val="both"/>
        <w:rPr>
          <w:rFonts w:cstheme="minorHAnsi"/>
          <w:i/>
          <w:iCs/>
          <w:sz w:val="24"/>
          <w:szCs w:val="24"/>
        </w:rPr>
      </w:pPr>
    </w:p>
    <w:p w14:paraId="2244410E" w14:textId="1191ABBC" w:rsidR="003A16EF" w:rsidRPr="007141B9" w:rsidRDefault="00610D6F" w:rsidP="00714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Occorre introdurre </w:t>
      </w:r>
      <w:r w:rsidR="000E1EE1" w:rsidRPr="007141B9">
        <w:rPr>
          <w:rFonts w:cstheme="minorHAnsi"/>
          <w:b/>
          <w:bCs/>
          <w:sz w:val="24"/>
          <w:szCs w:val="24"/>
        </w:rPr>
        <w:t xml:space="preserve">meccanismi di </w:t>
      </w:r>
      <w:r w:rsidR="00EA2F53" w:rsidRPr="007141B9">
        <w:rPr>
          <w:rFonts w:cstheme="minorHAnsi"/>
          <w:b/>
          <w:bCs/>
          <w:sz w:val="24"/>
          <w:szCs w:val="24"/>
        </w:rPr>
        <w:t>anticipazione</w:t>
      </w:r>
      <w:r w:rsidR="000E1EE1" w:rsidRPr="007141B9">
        <w:rPr>
          <w:rFonts w:cstheme="minorHAnsi"/>
          <w:b/>
          <w:bCs/>
          <w:sz w:val="24"/>
          <w:szCs w:val="24"/>
        </w:rPr>
        <w:t xml:space="preserve"> del</w:t>
      </w:r>
      <w:r w:rsidR="003A16EF" w:rsidRPr="007141B9">
        <w:rPr>
          <w:rFonts w:cstheme="minorHAnsi"/>
          <w:b/>
          <w:bCs/>
          <w:sz w:val="24"/>
          <w:szCs w:val="24"/>
        </w:rPr>
        <w:t>l’assegnazione</w:t>
      </w:r>
      <w:r w:rsidR="0097155D" w:rsidRPr="007141B9">
        <w:rPr>
          <w:rFonts w:cstheme="minorHAnsi"/>
          <w:b/>
          <w:bCs/>
          <w:sz w:val="24"/>
          <w:szCs w:val="24"/>
        </w:rPr>
        <w:t xml:space="preserve"> </w:t>
      </w:r>
      <w:r w:rsidR="00C1765F" w:rsidRPr="007141B9">
        <w:rPr>
          <w:rFonts w:cstheme="minorHAnsi"/>
          <w:b/>
          <w:bCs/>
          <w:sz w:val="24"/>
          <w:szCs w:val="24"/>
        </w:rPr>
        <w:t xml:space="preserve">delle risorse, </w:t>
      </w:r>
      <w:r w:rsidR="003A16EF" w:rsidRPr="007141B9">
        <w:rPr>
          <w:rFonts w:cstheme="minorHAnsi"/>
          <w:b/>
          <w:bCs/>
          <w:sz w:val="24"/>
          <w:szCs w:val="24"/>
        </w:rPr>
        <w:t xml:space="preserve">per consentire un più spedito ripiano del fabbisogno, </w:t>
      </w:r>
      <w:r w:rsidR="0097155D" w:rsidRPr="007141B9">
        <w:rPr>
          <w:rFonts w:cstheme="minorHAnsi"/>
          <w:b/>
          <w:bCs/>
          <w:sz w:val="24"/>
          <w:szCs w:val="24"/>
        </w:rPr>
        <w:t>fattore essenziale</w:t>
      </w:r>
      <w:r w:rsidR="003A16EF" w:rsidRPr="007141B9">
        <w:rPr>
          <w:rFonts w:cstheme="minorHAnsi"/>
          <w:b/>
          <w:bCs/>
          <w:sz w:val="24"/>
          <w:szCs w:val="24"/>
        </w:rPr>
        <w:t xml:space="preserve"> per condurre i bilanci de</w:t>
      </w:r>
      <w:r w:rsidR="0097155D" w:rsidRPr="007141B9">
        <w:rPr>
          <w:rFonts w:cstheme="minorHAnsi"/>
          <w:b/>
          <w:bCs/>
          <w:sz w:val="24"/>
          <w:szCs w:val="24"/>
        </w:rPr>
        <w:t xml:space="preserve">lle Province </w:t>
      </w:r>
      <w:r w:rsidR="003A16EF" w:rsidRPr="007141B9">
        <w:rPr>
          <w:rFonts w:cstheme="minorHAnsi"/>
          <w:b/>
          <w:bCs/>
          <w:sz w:val="24"/>
          <w:szCs w:val="24"/>
        </w:rPr>
        <w:t xml:space="preserve">in situazione di equilibrio di parte corrente certo e duraturo. </w:t>
      </w:r>
    </w:p>
    <w:p w14:paraId="3ECF0446" w14:textId="77777777" w:rsidR="00BF7905" w:rsidRPr="007141B9" w:rsidRDefault="00BF7905" w:rsidP="00BF7905">
      <w:pPr>
        <w:pStyle w:val="Paragrafoelenco"/>
        <w:jc w:val="both"/>
        <w:rPr>
          <w:rFonts w:cstheme="minorHAnsi"/>
          <w:b/>
          <w:bCs/>
          <w:sz w:val="24"/>
          <w:szCs w:val="24"/>
        </w:rPr>
      </w:pPr>
    </w:p>
    <w:p w14:paraId="6424D345" w14:textId="03B7D766" w:rsidR="003D4C54" w:rsidRPr="007141B9" w:rsidRDefault="003D4C54" w:rsidP="003D4C54">
      <w:pPr>
        <w:pStyle w:val="Paragrafoelenco"/>
        <w:numPr>
          <w:ilvl w:val="0"/>
          <w:numId w:val="13"/>
        </w:numPr>
        <w:jc w:val="both"/>
        <w:rPr>
          <w:rFonts w:cstheme="minorHAnsi"/>
          <w:b/>
          <w:bCs/>
          <w:sz w:val="24"/>
          <w:szCs w:val="24"/>
        </w:rPr>
      </w:pPr>
      <w:r w:rsidRPr="007141B9">
        <w:rPr>
          <w:rFonts w:cstheme="minorHAnsi"/>
          <w:b/>
          <w:bCs/>
          <w:sz w:val="24"/>
          <w:szCs w:val="24"/>
        </w:rPr>
        <w:t>Il calo delle entrate tributarie</w:t>
      </w:r>
    </w:p>
    <w:p w14:paraId="23FDF417" w14:textId="076606E7" w:rsidR="00894217" w:rsidRPr="007141B9" w:rsidRDefault="008176AD" w:rsidP="007141B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41B9">
        <w:rPr>
          <w:rFonts w:cstheme="minorHAnsi"/>
          <w:sz w:val="24"/>
          <w:szCs w:val="24"/>
        </w:rPr>
        <w:t xml:space="preserve">La situazione di parte corrente </w:t>
      </w:r>
      <w:r w:rsidR="00894217" w:rsidRPr="007141B9">
        <w:rPr>
          <w:rFonts w:cstheme="minorHAnsi"/>
          <w:sz w:val="24"/>
          <w:szCs w:val="24"/>
        </w:rPr>
        <w:t xml:space="preserve">delle Province </w:t>
      </w:r>
      <w:r w:rsidR="00C1765F" w:rsidRPr="007141B9">
        <w:rPr>
          <w:rFonts w:cstheme="minorHAnsi"/>
          <w:sz w:val="24"/>
          <w:szCs w:val="24"/>
        </w:rPr>
        <w:t>(e CM</w:t>
      </w:r>
      <w:r w:rsidR="00BF7905" w:rsidRPr="007141B9">
        <w:rPr>
          <w:rFonts w:cstheme="minorHAnsi"/>
          <w:sz w:val="24"/>
          <w:szCs w:val="24"/>
        </w:rPr>
        <w:t xml:space="preserve">) </w:t>
      </w:r>
      <w:r w:rsidRPr="007141B9">
        <w:rPr>
          <w:rFonts w:cstheme="minorHAnsi"/>
          <w:sz w:val="24"/>
          <w:szCs w:val="24"/>
        </w:rPr>
        <w:t xml:space="preserve">è ulteriormente minata dal </w:t>
      </w:r>
      <w:r w:rsidRPr="007141B9">
        <w:rPr>
          <w:rFonts w:cstheme="minorHAnsi"/>
          <w:b/>
          <w:bCs/>
          <w:sz w:val="24"/>
          <w:szCs w:val="24"/>
        </w:rPr>
        <w:t xml:space="preserve">repentino calo delle entrate proprie </w:t>
      </w:r>
      <w:r w:rsidR="003D4C54" w:rsidRPr="007141B9">
        <w:rPr>
          <w:rFonts w:cstheme="minorHAnsi"/>
          <w:b/>
          <w:bCs/>
          <w:sz w:val="24"/>
          <w:szCs w:val="24"/>
        </w:rPr>
        <w:t>tributarie legate</w:t>
      </w:r>
      <w:r w:rsidRPr="007141B9">
        <w:rPr>
          <w:rFonts w:cstheme="minorHAnsi"/>
          <w:b/>
          <w:bCs/>
          <w:sz w:val="24"/>
          <w:szCs w:val="24"/>
        </w:rPr>
        <w:t xml:space="preserve"> al mercato dei veicoli</w:t>
      </w:r>
      <w:r w:rsidR="00894217" w:rsidRPr="007141B9">
        <w:rPr>
          <w:rFonts w:cstheme="minorHAnsi"/>
          <w:b/>
          <w:bCs/>
          <w:sz w:val="24"/>
          <w:szCs w:val="24"/>
        </w:rPr>
        <w:t xml:space="preserve"> (IPT e </w:t>
      </w:r>
      <w:proofErr w:type="spellStart"/>
      <w:r w:rsidR="00894217" w:rsidRPr="007141B9">
        <w:rPr>
          <w:rFonts w:cstheme="minorHAnsi"/>
          <w:b/>
          <w:bCs/>
          <w:sz w:val="24"/>
          <w:szCs w:val="24"/>
        </w:rPr>
        <w:t>RCauto</w:t>
      </w:r>
      <w:proofErr w:type="spellEnd"/>
      <w:r w:rsidR="00894217" w:rsidRPr="007141B9">
        <w:rPr>
          <w:rFonts w:cstheme="minorHAnsi"/>
          <w:b/>
          <w:bCs/>
          <w:sz w:val="24"/>
          <w:szCs w:val="24"/>
        </w:rPr>
        <w:t>)</w:t>
      </w:r>
      <w:r w:rsidRPr="007141B9">
        <w:rPr>
          <w:rFonts w:cstheme="minorHAnsi"/>
          <w:sz w:val="24"/>
          <w:szCs w:val="24"/>
        </w:rPr>
        <w:t xml:space="preserve"> </w:t>
      </w:r>
      <w:r w:rsidR="00CE6241" w:rsidRPr="007141B9">
        <w:rPr>
          <w:rFonts w:cstheme="minorHAnsi"/>
          <w:sz w:val="24"/>
          <w:szCs w:val="24"/>
        </w:rPr>
        <w:t xml:space="preserve">. </w:t>
      </w:r>
    </w:p>
    <w:p w14:paraId="7112A4F2" w14:textId="37DDF118" w:rsidR="0050018E" w:rsidRDefault="00894217" w:rsidP="007141B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41B9">
        <w:rPr>
          <w:rFonts w:cstheme="minorHAnsi"/>
          <w:sz w:val="24"/>
          <w:szCs w:val="24"/>
        </w:rPr>
        <w:t>Come emerge dai dati</w:t>
      </w:r>
      <w:r w:rsidR="00F664E8" w:rsidRPr="007141B9">
        <w:rPr>
          <w:rFonts w:cstheme="minorHAnsi"/>
          <w:sz w:val="24"/>
          <w:szCs w:val="24"/>
        </w:rPr>
        <w:t xml:space="preserve"> di</w:t>
      </w:r>
      <w:r w:rsidRPr="007141B9">
        <w:rPr>
          <w:rFonts w:cstheme="minorHAnsi"/>
          <w:sz w:val="24"/>
          <w:szCs w:val="24"/>
        </w:rPr>
        <w:t xml:space="preserve"> gettito</w:t>
      </w:r>
      <w:r w:rsidR="002B45C0">
        <w:rPr>
          <w:rFonts w:cstheme="minorHAnsi"/>
          <w:sz w:val="24"/>
          <w:szCs w:val="24"/>
        </w:rPr>
        <w:t xml:space="preserve"> forniti dal Dipartimento delle Finanze</w:t>
      </w:r>
      <w:r w:rsidRPr="007141B9">
        <w:rPr>
          <w:rFonts w:cstheme="minorHAnsi"/>
          <w:sz w:val="24"/>
          <w:szCs w:val="24"/>
        </w:rPr>
        <w:t xml:space="preserve">, </w:t>
      </w:r>
      <w:r w:rsidR="003D2BA5" w:rsidRPr="007141B9">
        <w:rPr>
          <w:rFonts w:cstheme="minorHAnsi"/>
          <w:sz w:val="24"/>
          <w:szCs w:val="24"/>
        </w:rPr>
        <w:t xml:space="preserve"> nel confronto tra</w:t>
      </w:r>
      <w:r w:rsidR="002B45C0">
        <w:rPr>
          <w:rFonts w:cstheme="minorHAnsi"/>
          <w:sz w:val="24"/>
          <w:szCs w:val="24"/>
        </w:rPr>
        <w:t xml:space="preserve"> 2021 e 2022 </w:t>
      </w:r>
      <w:r w:rsidR="003D2BA5" w:rsidRPr="007141B9">
        <w:rPr>
          <w:rFonts w:cstheme="minorHAnsi"/>
          <w:sz w:val="24"/>
          <w:szCs w:val="24"/>
        </w:rPr>
        <w:t xml:space="preserve"> </w:t>
      </w:r>
      <w:r w:rsidRPr="007141B9">
        <w:rPr>
          <w:rFonts w:cstheme="minorHAnsi"/>
          <w:sz w:val="24"/>
          <w:szCs w:val="24"/>
        </w:rPr>
        <w:t xml:space="preserve">si registra infatti un andamento negativo per oltre </w:t>
      </w:r>
      <w:r w:rsidRPr="007141B9">
        <w:rPr>
          <w:rFonts w:cstheme="minorHAnsi"/>
          <w:b/>
          <w:bCs/>
          <w:sz w:val="24"/>
          <w:szCs w:val="24"/>
        </w:rPr>
        <w:t>-</w:t>
      </w:r>
      <w:r w:rsidR="00CE6241" w:rsidRPr="007141B9">
        <w:rPr>
          <w:rFonts w:cstheme="minorHAnsi"/>
          <w:b/>
          <w:bCs/>
          <w:sz w:val="24"/>
          <w:szCs w:val="24"/>
        </w:rPr>
        <w:t>2</w:t>
      </w:r>
      <w:r w:rsidR="002B45C0">
        <w:rPr>
          <w:rFonts w:cstheme="minorHAnsi"/>
          <w:b/>
          <w:bCs/>
          <w:sz w:val="24"/>
          <w:szCs w:val="24"/>
        </w:rPr>
        <w:t>00</w:t>
      </w:r>
      <w:r w:rsidRPr="007141B9">
        <w:rPr>
          <w:rFonts w:cstheme="minorHAnsi"/>
          <w:b/>
          <w:bCs/>
          <w:sz w:val="24"/>
          <w:szCs w:val="24"/>
        </w:rPr>
        <w:t xml:space="preserve"> milioni rispetto al</w:t>
      </w:r>
      <w:r w:rsidR="00EA2F53" w:rsidRPr="007141B9">
        <w:rPr>
          <w:rFonts w:cstheme="minorHAnsi"/>
          <w:b/>
          <w:bCs/>
          <w:sz w:val="24"/>
          <w:szCs w:val="24"/>
        </w:rPr>
        <w:t>lo stesso periodo del</w:t>
      </w:r>
      <w:r w:rsidRPr="007141B9">
        <w:rPr>
          <w:rFonts w:cstheme="minorHAnsi"/>
          <w:b/>
          <w:bCs/>
          <w:sz w:val="24"/>
          <w:szCs w:val="24"/>
        </w:rPr>
        <w:t xml:space="preserve"> 2021</w:t>
      </w:r>
      <w:r w:rsidR="003026AE">
        <w:rPr>
          <w:rFonts w:cstheme="minorHAnsi"/>
          <w:sz w:val="24"/>
          <w:szCs w:val="24"/>
        </w:rPr>
        <w:t>.</w:t>
      </w:r>
    </w:p>
    <w:p w14:paraId="58770434" w14:textId="77777777" w:rsidR="003026AE" w:rsidRPr="007141B9" w:rsidRDefault="003026AE" w:rsidP="007141B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4654C1" w14:textId="4745EA1E" w:rsidR="00EA2F53" w:rsidRPr="007141B9" w:rsidRDefault="00EA2F53" w:rsidP="00714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141B9">
        <w:rPr>
          <w:rFonts w:cstheme="minorHAnsi"/>
          <w:b/>
          <w:bCs/>
          <w:sz w:val="24"/>
          <w:szCs w:val="24"/>
        </w:rPr>
        <w:t xml:space="preserve">In particolare, il gettito </w:t>
      </w:r>
      <w:proofErr w:type="spellStart"/>
      <w:r w:rsidRPr="007141B9">
        <w:rPr>
          <w:rFonts w:cstheme="minorHAnsi"/>
          <w:b/>
          <w:bCs/>
          <w:sz w:val="24"/>
          <w:szCs w:val="24"/>
        </w:rPr>
        <w:t>RCAuto</w:t>
      </w:r>
      <w:proofErr w:type="spellEnd"/>
      <w:r w:rsidRPr="007141B9">
        <w:rPr>
          <w:rFonts w:cstheme="minorHAnsi"/>
          <w:b/>
          <w:bCs/>
          <w:sz w:val="24"/>
          <w:szCs w:val="24"/>
        </w:rPr>
        <w:t xml:space="preserve"> </w:t>
      </w:r>
      <w:r w:rsidR="002B45C0">
        <w:rPr>
          <w:rFonts w:cstheme="minorHAnsi"/>
          <w:b/>
          <w:bCs/>
          <w:sz w:val="24"/>
          <w:szCs w:val="24"/>
        </w:rPr>
        <w:t xml:space="preserve">si contrae del 1,6% </w:t>
      </w:r>
      <w:r w:rsidRPr="007141B9">
        <w:rPr>
          <w:rFonts w:cstheme="minorHAnsi"/>
          <w:b/>
          <w:bCs/>
          <w:sz w:val="24"/>
          <w:szCs w:val="24"/>
        </w:rPr>
        <w:t>(-</w:t>
      </w:r>
      <w:r w:rsidR="002B45C0">
        <w:rPr>
          <w:rFonts w:cstheme="minorHAnsi"/>
          <w:b/>
          <w:bCs/>
          <w:sz w:val="24"/>
          <w:szCs w:val="24"/>
        </w:rPr>
        <w:t>33</w:t>
      </w:r>
      <w:r w:rsidRPr="007141B9">
        <w:rPr>
          <w:rFonts w:cstheme="minorHAnsi"/>
          <w:b/>
          <w:bCs/>
          <w:sz w:val="24"/>
          <w:szCs w:val="24"/>
        </w:rPr>
        <w:t xml:space="preserve"> milioni) e ancor di più il gettito dell’IPT crolla del -9,</w:t>
      </w:r>
      <w:r w:rsidR="002B45C0">
        <w:rPr>
          <w:rFonts w:cstheme="minorHAnsi"/>
          <w:b/>
          <w:bCs/>
          <w:sz w:val="24"/>
          <w:szCs w:val="24"/>
        </w:rPr>
        <w:t>7</w:t>
      </w:r>
      <w:r w:rsidRPr="007141B9">
        <w:rPr>
          <w:rFonts w:cstheme="minorHAnsi"/>
          <w:b/>
          <w:bCs/>
          <w:sz w:val="24"/>
          <w:szCs w:val="24"/>
        </w:rPr>
        <w:t>% (-1</w:t>
      </w:r>
      <w:r w:rsidR="002B45C0">
        <w:rPr>
          <w:rFonts w:cstheme="minorHAnsi"/>
          <w:b/>
          <w:bCs/>
          <w:sz w:val="24"/>
          <w:szCs w:val="24"/>
        </w:rPr>
        <w:t>69</w:t>
      </w:r>
      <w:r w:rsidRPr="007141B9">
        <w:rPr>
          <w:rFonts w:cstheme="minorHAnsi"/>
          <w:b/>
          <w:bCs/>
          <w:sz w:val="24"/>
          <w:szCs w:val="24"/>
        </w:rPr>
        <w:t>milioni) per un totale complessivo di -2</w:t>
      </w:r>
      <w:r w:rsidR="002B45C0">
        <w:rPr>
          <w:rFonts w:cstheme="minorHAnsi"/>
          <w:b/>
          <w:bCs/>
          <w:sz w:val="24"/>
          <w:szCs w:val="24"/>
        </w:rPr>
        <w:t>02</w:t>
      </w:r>
      <w:r w:rsidRPr="007141B9">
        <w:rPr>
          <w:rFonts w:cstheme="minorHAnsi"/>
          <w:b/>
          <w:bCs/>
          <w:sz w:val="24"/>
          <w:szCs w:val="24"/>
        </w:rPr>
        <w:t xml:space="preserve"> milioni. </w:t>
      </w:r>
    </w:p>
    <w:p w14:paraId="2EFAB24D" w14:textId="77777777" w:rsidR="00EA2F53" w:rsidRPr="007141B9" w:rsidRDefault="00EA2F53" w:rsidP="007141B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6A332BB" w14:textId="6E805C67" w:rsidR="00CE6241" w:rsidRPr="007141B9" w:rsidRDefault="00610D6F" w:rsidP="00714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Occorre</w:t>
      </w:r>
      <w:r w:rsidR="000E1EE1" w:rsidRPr="007141B9">
        <w:rPr>
          <w:rFonts w:cstheme="minorHAnsi"/>
          <w:b/>
          <w:bCs/>
          <w:sz w:val="24"/>
          <w:szCs w:val="24"/>
        </w:rPr>
        <w:t xml:space="preserve"> coprire questo gap attraverso </w:t>
      </w:r>
      <w:r w:rsidR="003D4C54" w:rsidRPr="007141B9">
        <w:rPr>
          <w:rFonts w:cstheme="minorHAnsi"/>
          <w:b/>
          <w:bCs/>
          <w:sz w:val="24"/>
          <w:szCs w:val="24"/>
        </w:rPr>
        <w:t>un fondo specifico per gli anni 2023</w:t>
      </w:r>
      <w:r w:rsidR="00C1765F" w:rsidRPr="007141B9">
        <w:rPr>
          <w:rFonts w:cstheme="minorHAnsi"/>
          <w:b/>
          <w:bCs/>
          <w:sz w:val="24"/>
          <w:szCs w:val="24"/>
        </w:rPr>
        <w:t xml:space="preserve">, </w:t>
      </w:r>
      <w:r w:rsidR="003D4C54" w:rsidRPr="007141B9">
        <w:rPr>
          <w:rFonts w:cstheme="minorHAnsi"/>
          <w:b/>
          <w:bCs/>
          <w:sz w:val="24"/>
          <w:szCs w:val="24"/>
        </w:rPr>
        <w:t xml:space="preserve">2024 </w:t>
      </w:r>
      <w:r w:rsidR="00C1765F" w:rsidRPr="007141B9">
        <w:rPr>
          <w:rFonts w:cstheme="minorHAnsi"/>
          <w:b/>
          <w:bCs/>
          <w:sz w:val="24"/>
          <w:szCs w:val="24"/>
        </w:rPr>
        <w:t>per</w:t>
      </w:r>
      <w:r w:rsidR="00CE6241" w:rsidRPr="007141B9">
        <w:rPr>
          <w:rFonts w:cstheme="minorHAnsi"/>
          <w:b/>
          <w:bCs/>
          <w:sz w:val="24"/>
          <w:szCs w:val="24"/>
        </w:rPr>
        <w:t xml:space="preserve"> garantire alle </w:t>
      </w:r>
      <w:r w:rsidR="00EA2F53" w:rsidRPr="007141B9">
        <w:rPr>
          <w:rFonts w:cstheme="minorHAnsi"/>
          <w:b/>
          <w:bCs/>
          <w:sz w:val="24"/>
          <w:szCs w:val="24"/>
        </w:rPr>
        <w:t>Province le</w:t>
      </w:r>
      <w:r w:rsidR="00CE6241" w:rsidRPr="007141B9">
        <w:rPr>
          <w:rFonts w:cstheme="minorHAnsi"/>
          <w:b/>
          <w:bCs/>
          <w:sz w:val="24"/>
          <w:szCs w:val="24"/>
        </w:rPr>
        <w:t xml:space="preserve"> stesse risorse tributarie di parte corrente come attestate nel 2021.</w:t>
      </w:r>
    </w:p>
    <w:p w14:paraId="57C02EBB" w14:textId="77777777" w:rsidR="007141B9" w:rsidRDefault="007141B9" w:rsidP="007141B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464D9B0" w14:textId="50949EF4" w:rsidR="007141B9" w:rsidRDefault="007141B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171B4085" w14:textId="4D65DF71" w:rsidR="00F664E8" w:rsidRPr="007141B9" w:rsidRDefault="00237D93" w:rsidP="007141B9">
      <w:pPr>
        <w:pStyle w:val="Paragrafoelenco"/>
        <w:numPr>
          <w:ilvl w:val="0"/>
          <w:numId w:val="14"/>
        </w:numPr>
        <w:jc w:val="both"/>
        <w:rPr>
          <w:rFonts w:cstheme="minorHAnsi"/>
          <w:b/>
          <w:bCs/>
          <w:sz w:val="26"/>
          <w:szCs w:val="26"/>
        </w:rPr>
      </w:pPr>
      <w:r w:rsidRPr="007141B9">
        <w:rPr>
          <w:rFonts w:cstheme="minorHAnsi"/>
          <w:b/>
          <w:bCs/>
          <w:sz w:val="26"/>
          <w:szCs w:val="26"/>
        </w:rPr>
        <w:t xml:space="preserve">Le </w:t>
      </w:r>
      <w:r w:rsidR="00CE6241" w:rsidRPr="007141B9">
        <w:rPr>
          <w:rFonts w:cstheme="minorHAnsi"/>
          <w:b/>
          <w:bCs/>
          <w:sz w:val="26"/>
          <w:szCs w:val="26"/>
        </w:rPr>
        <w:t xml:space="preserve">richieste prioritarie delle </w:t>
      </w:r>
      <w:r w:rsidR="00F664E8" w:rsidRPr="007141B9">
        <w:rPr>
          <w:rFonts w:cstheme="minorHAnsi"/>
          <w:b/>
          <w:bCs/>
          <w:sz w:val="26"/>
          <w:szCs w:val="26"/>
        </w:rPr>
        <w:t xml:space="preserve">Province </w:t>
      </w:r>
    </w:p>
    <w:p w14:paraId="1FD1A3D0" w14:textId="3DC10950" w:rsidR="008C4116" w:rsidRPr="007141B9" w:rsidRDefault="0057300E" w:rsidP="007141B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41B9">
        <w:rPr>
          <w:rFonts w:cstheme="minorHAnsi"/>
          <w:sz w:val="24"/>
          <w:szCs w:val="24"/>
        </w:rPr>
        <w:t xml:space="preserve">Stante questo quadro, l’Unione delle Province d’Italia intende proporre </w:t>
      </w:r>
      <w:r w:rsidR="00F664E8" w:rsidRPr="007141B9">
        <w:rPr>
          <w:rFonts w:cstheme="minorHAnsi"/>
          <w:sz w:val="24"/>
          <w:szCs w:val="24"/>
        </w:rPr>
        <w:t xml:space="preserve">richieste </w:t>
      </w:r>
      <w:r w:rsidRPr="007141B9">
        <w:rPr>
          <w:rFonts w:cstheme="minorHAnsi"/>
          <w:b/>
          <w:bCs/>
          <w:sz w:val="24"/>
          <w:szCs w:val="24"/>
        </w:rPr>
        <w:t xml:space="preserve">prioritarie </w:t>
      </w:r>
      <w:r w:rsidR="00B21998" w:rsidRPr="007141B9">
        <w:rPr>
          <w:rFonts w:cstheme="minorHAnsi"/>
          <w:b/>
          <w:bCs/>
          <w:sz w:val="24"/>
          <w:szCs w:val="24"/>
        </w:rPr>
        <w:t>strettamente connesse</w:t>
      </w:r>
      <w:r w:rsidR="00F664E8" w:rsidRPr="007141B9">
        <w:rPr>
          <w:rFonts w:cstheme="minorHAnsi"/>
          <w:b/>
          <w:bCs/>
          <w:sz w:val="24"/>
          <w:szCs w:val="24"/>
        </w:rPr>
        <w:t xml:space="preserve"> </w:t>
      </w:r>
      <w:r w:rsidR="00B21998" w:rsidRPr="007141B9">
        <w:rPr>
          <w:rFonts w:cstheme="minorHAnsi"/>
          <w:b/>
          <w:bCs/>
          <w:sz w:val="24"/>
          <w:szCs w:val="24"/>
        </w:rPr>
        <w:t xml:space="preserve">alla necessità di </w:t>
      </w:r>
      <w:r w:rsidR="00C30231" w:rsidRPr="007141B9">
        <w:rPr>
          <w:rFonts w:cstheme="minorHAnsi"/>
          <w:b/>
          <w:bCs/>
          <w:sz w:val="24"/>
          <w:szCs w:val="24"/>
        </w:rPr>
        <w:t>assicurare</w:t>
      </w:r>
      <w:r w:rsidR="00B21998" w:rsidRPr="007141B9">
        <w:rPr>
          <w:rFonts w:cstheme="minorHAnsi"/>
          <w:b/>
          <w:bCs/>
          <w:sz w:val="24"/>
          <w:szCs w:val="24"/>
        </w:rPr>
        <w:t xml:space="preserve">, senza </w:t>
      </w:r>
      <w:r w:rsidR="00F664E8" w:rsidRPr="007141B9">
        <w:rPr>
          <w:rFonts w:cstheme="minorHAnsi"/>
          <w:b/>
          <w:bCs/>
          <w:sz w:val="24"/>
          <w:szCs w:val="24"/>
        </w:rPr>
        <w:t>soluzione</w:t>
      </w:r>
      <w:r w:rsidR="00B21998" w:rsidRPr="007141B9">
        <w:rPr>
          <w:rFonts w:cstheme="minorHAnsi"/>
          <w:b/>
          <w:bCs/>
          <w:sz w:val="24"/>
          <w:szCs w:val="24"/>
        </w:rPr>
        <w:t xml:space="preserve"> di continuità,</w:t>
      </w:r>
      <w:r w:rsidR="00F664E8" w:rsidRPr="007141B9">
        <w:rPr>
          <w:rFonts w:cstheme="minorHAnsi"/>
          <w:sz w:val="24"/>
          <w:szCs w:val="24"/>
        </w:rPr>
        <w:t xml:space="preserve"> le funzioni fondamentali esercitate dalle Province ed i servizi essenziali erogati</w:t>
      </w:r>
      <w:r w:rsidR="00032A4A" w:rsidRPr="007141B9">
        <w:rPr>
          <w:rFonts w:cstheme="minorHAnsi"/>
          <w:sz w:val="24"/>
          <w:szCs w:val="24"/>
        </w:rPr>
        <w:t xml:space="preserve">. </w:t>
      </w:r>
    </w:p>
    <w:p w14:paraId="21A93FED" w14:textId="0FF2E681" w:rsidR="00C1765F" w:rsidRPr="007141B9" w:rsidRDefault="00C1765F" w:rsidP="007141B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41B9">
        <w:rPr>
          <w:rFonts w:cstheme="minorHAnsi"/>
          <w:sz w:val="24"/>
          <w:szCs w:val="24"/>
        </w:rPr>
        <w:t xml:space="preserve">È necessario inoltre </w:t>
      </w:r>
      <w:r w:rsidR="00EA2F53" w:rsidRPr="007141B9">
        <w:rPr>
          <w:rFonts w:cstheme="minorHAnsi"/>
          <w:sz w:val="24"/>
          <w:szCs w:val="24"/>
        </w:rPr>
        <w:t xml:space="preserve">prevedere misure straordinarie per </w:t>
      </w:r>
      <w:r w:rsidRPr="007141B9">
        <w:rPr>
          <w:rFonts w:cstheme="minorHAnsi"/>
          <w:sz w:val="24"/>
          <w:szCs w:val="24"/>
        </w:rPr>
        <w:t>rafforzare le strutture amministrative, fortemente compromesse dal dimezzamento delle dotazioni organiche causato dalla riforma istituzionale del 2014 e dal blocco del turn over</w:t>
      </w:r>
      <w:r w:rsidR="00EA2F53" w:rsidRPr="007141B9">
        <w:rPr>
          <w:rFonts w:cstheme="minorHAnsi"/>
          <w:sz w:val="24"/>
          <w:szCs w:val="24"/>
        </w:rPr>
        <w:t xml:space="preserve"> per i successivi cinque anni</w:t>
      </w:r>
      <w:r w:rsidRPr="007141B9">
        <w:rPr>
          <w:rFonts w:cstheme="minorHAnsi"/>
          <w:sz w:val="24"/>
          <w:szCs w:val="24"/>
        </w:rPr>
        <w:t xml:space="preserve">. </w:t>
      </w:r>
    </w:p>
    <w:p w14:paraId="2AFF9A01" w14:textId="58B729D3" w:rsidR="008D0218" w:rsidRDefault="008D0218" w:rsidP="007141B9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7141B9">
        <w:rPr>
          <w:rFonts w:cstheme="minorHAnsi"/>
          <w:sz w:val="24"/>
          <w:szCs w:val="24"/>
        </w:rPr>
        <w:t xml:space="preserve">Ulteriore elemento di criticità finanziaria per il 2023 sarà </w:t>
      </w:r>
      <w:r w:rsidRPr="007141B9">
        <w:rPr>
          <w:rFonts w:cstheme="minorHAnsi"/>
          <w:sz w:val="24"/>
          <w:szCs w:val="24"/>
          <w:u w:val="single"/>
        </w:rPr>
        <w:t>l’impatto dell’applicazione del nuovo CCNL Funzioni locali</w:t>
      </w:r>
      <w:r w:rsidRPr="007141B9">
        <w:rPr>
          <w:rFonts w:cstheme="minorHAnsi"/>
          <w:sz w:val="24"/>
          <w:szCs w:val="24"/>
        </w:rPr>
        <w:t>, che rimane totalmente a carico de</w:t>
      </w:r>
      <w:r w:rsidR="00C1765F" w:rsidRPr="007141B9">
        <w:rPr>
          <w:rFonts w:cstheme="minorHAnsi"/>
          <w:sz w:val="24"/>
          <w:szCs w:val="24"/>
        </w:rPr>
        <w:t xml:space="preserve">lle Province, nonché dell’applicazione delle disposizioni di cui </w:t>
      </w:r>
      <w:r w:rsidR="00C1765F" w:rsidRPr="007141B9">
        <w:rPr>
          <w:rFonts w:cstheme="minorHAnsi"/>
          <w:sz w:val="24"/>
          <w:szCs w:val="24"/>
          <w:u w:val="single"/>
        </w:rPr>
        <w:t>all’art.62 della presente Legge di Bilancio</w:t>
      </w:r>
      <w:r w:rsidR="00C1765F" w:rsidRPr="007141B9">
        <w:rPr>
          <w:rFonts w:cstheme="minorHAnsi"/>
          <w:sz w:val="24"/>
          <w:szCs w:val="24"/>
        </w:rPr>
        <w:t xml:space="preserve">, </w:t>
      </w:r>
      <w:r w:rsidR="00C1765F" w:rsidRPr="007141B9">
        <w:rPr>
          <w:rFonts w:cstheme="minorHAnsi"/>
          <w:b/>
          <w:bCs/>
          <w:sz w:val="24"/>
          <w:szCs w:val="24"/>
          <w:u w:val="single"/>
        </w:rPr>
        <w:t>stimabil</w:t>
      </w:r>
      <w:r w:rsidR="00EA2F53" w:rsidRPr="007141B9">
        <w:rPr>
          <w:rFonts w:cstheme="minorHAnsi"/>
          <w:b/>
          <w:bCs/>
          <w:sz w:val="24"/>
          <w:szCs w:val="24"/>
          <w:u w:val="single"/>
        </w:rPr>
        <w:t>i  complessivamente</w:t>
      </w:r>
      <w:r w:rsidR="00C1765F" w:rsidRPr="007141B9">
        <w:rPr>
          <w:rFonts w:cstheme="minorHAnsi"/>
          <w:b/>
          <w:bCs/>
          <w:sz w:val="24"/>
          <w:szCs w:val="24"/>
          <w:u w:val="single"/>
        </w:rPr>
        <w:t xml:space="preserve"> in oltre 30 milioni di euro. </w:t>
      </w:r>
      <w:r w:rsidRPr="007141B9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05CC563A" w14:textId="77777777" w:rsidR="007141B9" w:rsidRPr="007141B9" w:rsidRDefault="007141B9" w:rsidP="007141B9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0AAA558B" w14:textId="77777777" w:rsidR="00456FC4" w:rsidRPr="007141B9" w:rsidRDefault="00032A4A" w:rsidP="00714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141B9">
        <w:rPr>
          <w:rFonts w:cstheme="minorHAnsi"/>
          <w:b/>
          <w:bCs/>
          <w:sz w:val="24"/>
          <w:szCs w:val="24"/>
        </w:rPr>
        <w:t>Occorre dare dunque certezza ai bilanci de</w:t>
      </w:r>
      <w:r w:rsidR="00C47E28" w:rsidRPr="007141B9">
        <w:rPr>
          <w:rFonts w:cstheme="minorHAnsi"/>
          <w:b/>
          <w:bCs/>
          <w:sz w:val="24"/>
          <w:szCs w:val="24"/>
        </w:rPr>
        <w:t xml:space="preserve">lle Province </w:t>
      </w:r>
      <w:r w:rsidRPr="007141B9">
        <w:rPr>
          <w:rFonts w:cstheme="minorHAnsi"/>
          <w:b/>
          <w:bCs/>
          <w:sz w:val="24"/>
          <w:szCs w:val="24"/>
        </w:rPr>
        <w:t xml:space="preserve">attraverso misure straordinarie e </w:t>
      </w:r>
      <w:r w:rsidR="008C4116" w:rsidRPr="007141B9">
        <w:rPr>
          <w:rFonts w:cstheme="minorHAnsi"/>
          <w:b/>
          <w:bCs/>
          <w:sz w:val="24"/>
          <w:szCs w:val="24"/>
        </w:rPr>
        <w:t>misure strutturali che</w:t>
      </w:r>
      <w:r w:rsidR="00456FC4" w:rsidRPr="007141B9">
        <w:rPr>
          <w:rFonts w:cstheme="minorHAnsi"/>
          <w:b/>
          <w:bCs/>
          <w:sz w:val="24"/>
          <w:szCs w:val="24"/>
        </w:rPr>
        <w:t>:</w:t>
      </w:r>
    </w:p>
    <w:p w14:paraId="4BE7BA95" w14:textId="3189D8E3" w:rsidR="00456FC4" w:rsidRPr="007141B9" w:rsidRDefault="00456FC4" w:rsidP="00714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7141B9">
        <w:rPr>
          <w:rFonts w:cstheme="minorHAnsi"/>
          <w:sz w:val="24"/>
          <w:szCs w:val="24"/>
        </w:rPr>
        <w:t xml:space="preserve">- </w:t>
      </w:r>
      <w:r w:rsidR="008C4116" w:rsidRPr="007141B9">
        <w:rPr>
          <w:rFonts w:cstheme="minorHAnsi"/>
          <w:sz w:val="24"/>
          <w:szCs w:val="24"/>
        </w:rPr>
        <w:t xml:space="preserve">affianchino e sostengano </w:t>
      </w:r>
      <w:r w:rsidR="00C1765F" w:rsidRPr="007141B9">
        <w:rPr>
          <w:rFonts w:cstheme="minorHAnsi"/>
          <w:sz w:val="24"/>
          <w:szCs w:val="24"/>
        </w:rPr>
        <w:t xml:space="preserve">il </w:t>
      </w:r>
      <w:r w:rsidRPr="007141B9">
        <w:rPr>
          <w:rFonts w:cstheme="minorHAnsi"/>
          <w:sz w:val="24"/>
          <w:szCs w:val="24"/>
        </w:rPr>
        <w:t xml:space="preserve">percorso di </w:t>
      </w:r>
      <w:r w:rsidR="008C4116" w:rsidRPr="007141B9">
        <w:rPr>
          <w:rFonts w:cstheme="minorHAnsi"/>
          <w:b/>
          <w:bCs/>
          <w:sz w:val="24"/>
          <w:szCs w:val="24"/>
        </w:rPr>
        <w:t>revisione</w:t>
      </w:r>
      <w:r w:rsidRPr="007141B9">
        <w:rPr>
          <w:rFonts w:cstheme="minorHAnsi"/>
          <w:sz w:val="24"/>
          <w:szCs w:val="24"/>
        </w:rPr>
        <w:t xml:space="preserve"> dell’ordinamento in avvio;</w:t>
      </w:r>
    </w:p>
    <w:p w14:paraId="24FA6612" w14:textId="77777777" w:rsidR="007141B9" w:rsidRDefault="00456FC4" w:rsidP="00714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7141B9">
        <w:rPr>
          <w:rFonts w:cstheme="minorHAnsi"/>
          <w:sz w:val="24"/>
          <w:szCs w:val="24"/>
        </w:rPr>
        <w:t xml:space="preserve">- assicurino agli enti l’equilibrio finanziario necessario per procedere con il </w:t>
      </w:r>
      <w:r w:rsidRPr="007141B9">
        <w:rPr>
          <w:rFonts w:cstheme="minorHAnsi"/>
          <w:b/>
          <w:bCs/>
          <w:sz w:val="24"/>
          <w:szCs w:val="24"/>
        </w:rPr>
        <w:t>Piano di investimenti</w:t>
      </w:r>
      <w:r w:rsidRPr="007141B9">
        <w:rPr>
          <w:rFonts w:cstheme="minorHAnsi"/>
          <w:sz w:val="24"/>
          <w:szCs w:val="24"/>
        </w:rPr>
        <w:t xml:space="preserve"> per </w:t>
      </w:r>
      <w:r w:rsidR="007141B9">
        <w:rPr>
          <w:rFonts w:cstheme="minorHAnsi"/>
          <w:sz w:val="24"/>
          <w:szCs w:val="24"/>
        </w:rPr>
        <w:t xml:space="preserve">   </w:t>
      </w:r>
    </w:p>
    <w:p w14:paraId="54ED7423" w14:textId="3A88F9EB" w:rsidR="00456FC4" w:rsidRPr="007141B9" w:rsidRDefault="007141B9" w:rsidP="00714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456FC4" w:rsidRPr="007141B9">
        <w:rPr>
          <w:rFonts w:cstheme="minorHAnsi"/>
          <w:sz w:val="24"/>
          <w:szCs w:val="24"/>
        </w:rPr>
        <w:t>edilizia scolastica e viabilità affidato loro dal PNRR, dal PNC e dai programmi nazionali e regionali;</w:t>
      </w:r>
    </w:p>
    <w:p w14:paraId="68F68635" w14:textId="77777777" w:rsidR="007141B9" w:rsidRDefault="00456FC4" w:rsidP="00714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7141B9">
        <w:rPr>
          <w:rFonts w:cstheme="minorHAnsi"/>
          <w:sz w:val="24"/>
          <w:szCs w:val="24"/>
        </w:rPr>
        <w:t xml:space="preserve">- </w:t>
      </w:r>
      <w:r w:rsidR="008C4116" w:rsidRPr="007141B9">
        <w:rPr>
          <w:rFonts w:cstheme="minorHAnsi"/>
          <w:sz w:val="24"/>
          <w:szCs w:val="24"/>
        </w:rPr>
        <w:t>permett</w:t>
      </w:r>
      <w:r w:rsidRPr="007141B9">
        <w:rPr>
          <w:rFonts w:cstheme="minorHAnsi"/>
          <w:sz w:val="24"/>
          <w:szCs w:val="24"/>
        </w:rPr>
        <w:t xml:space="preserve">ano </w:t>
      </w:r>
      <w:r w:rsidR="008C4116" w:rsidRPr="007141B9">
        <w:rPr>
          <w:rFonts w:cstheme="minorHAnsi"/>
          <w:sz w:val="24"/>
          <w:szCs w:val="24"/>
        </w:rPr>
        <w:t>a</w:t>
      </w:r>
      <w:r w:rsidRPr="007141B9">
        <w:rPr>
          <w:rFonts w:cstheme="minorHAnsi"/>
          <w:sz w:val="24"/>
          <w:szCs w:val="24"/>
        </w:rPr>
        <w:t xml:space="preserve">lle </w:t>
      </w:r>
      <w:r w:rsidR="008C4116" w:rsidRPr="007141B9">
        <w:rPr>
          <w:rFonts w:cstheme="minorHAnsi"/>
          <w:sz w:val="24"/>
          <w:szCs w:val="24"/>
        </w:rPr>
        <w:t xml:space="preserve">Province di esprimere a pieno il ruolo di ente </w:t>
      </w:r>
      <w:r w:rsidRPr="007141B9">
        <w:rPr>
          <w:rFonts w:cstheme="minorHAnsi"/>
          <w:sz w:val="24"/>
          <w:szCs w:val="24"/>
        </w:rPr>
        <w:t xml:space="preserve">di </w:t>
      </w:r>
      <w:r w:rsidRPr="007141B9">
        <w:rPr>
          <w:rFonts w:cstheme="minorHAnsi"/>
          <w:b/>
          <w:bCs/>
          <w:sz w:val="24"/>
          <w:szCs w:val="24"/>
        </w:rPr>
        <w:t>sostegno e assistenza</w:t>
      </w:r>
      <w:r w:rsidRPr="007141B9">
        <w:rPr>
          <w:rFonts w:cstheme="minorHAnsi"/>
          <w:sz w:val="24"/>
          <w:szCs w:val="24"/>
        </w:rPr>
        <w:t xml:space="preserve"> agli altri </w:t>
      </w:r>
      <w:r w:rsidR="007141B9">
        <w:rPr>
          <w:rFonts w:cstheme="minorHAnsi"/>
          <w:sz w:val="24"/>
          <w:szCs w:val="24"/>
        </w:rPr>
        <w:t xml:space="preserve">   </w:t>
      </w:r>
    </w:p>
    <w:p w14:paraId="1D194B73" w14:textId="6FDDD59E" w:rsidR="008C4116" w:rsidRPr="007141B9" w:rsidRDefault="007141B9" w:rsidP="00714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456FC4" w:rsidRPr="007141B9">
        <w:rPr>
          <w:rFonts w:cstheme="minorHAnsi"/>
          <w:sz w:val="24"/>
          <w:szCs w:val="24"/>
        </w:rPr>
        <w:t>enti locali del territorio, primi fra tutti i piccoli comuni</w:t>
      </w:r>
      <w:r w:rsidR="008C4116" w:rsidRPr="007141B9">
        <w:rPr>
          <w:rFonts w:cstheme="minorHAnsi"/>
          <w:sz w:val="24"/>
          <w:szCs w:val="24"/>
        </w:rPr>
        <w:t xml:space="preserve">. </w:t>
      </w:r>
    </w:p>
    <w:p w14:paraId="1F47949E" w14:textId="77777777" w:rsidR="007141B9" w:rsidRPr="007141B9" w:rsidRDefault="007141B9" w:rsidP="007141B9">
      <w:pPr>
        <w:pStyle w:val="Paragrafoelenco"/>
        <w:ind w:left="284"/>
        <w:jc w:val="both"/>
        <w:rPr>
          <w:rFonts w:cstheme="minorHAnsi"/>
          <w:sz w:val="24"/>
          <w:szCs w:val="24"/>
        </w:rPr>
      </w:pPr>
    </w:p>
    <w:p w14:paraId="2FAA3276" w14:textId="36A97DB0" w:rsidR="00314A8C" w:rsidRPr="007141B9" w:rsidRDefault="00456FC4" w:rsidP="007141B9">
      <w:pPr>
        <w:pStyle w:val="Paragrafoelenco"/>
        <w:numPr>
          <w:ilvl w:val="0"/>
          <w:numId w:val="4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141B9">
        <w:rPr>
          <w:rFonts w:cstheme="minorHAnsi"/>
          <w:b/>
          <w:bCs/>
          <w:sz w:val="24"/>
          <w:szCs w:val="24"/>
        </w:rPr>
        <w:t>Anticipare</w:t>
      </w:r>
      <w:r w:rsidR="00314A8C" w:rsidRPr="007141B9">
        <w:rPr>
          <w:rFonts w:cstheme="minorHAnsi"/>
          <w:b/>
          <w:bCs/>
          <w:sz w:val="24"/>
          <w:szCs w:val="24"/>
        </w:rPr>
        <w:t xml:space="preserve"> </w:t>
      </w:r>
      <w:r w:rsidRPr="007141B9">
        <w:rPr>
          <w:rFonts w:cstheme="minorHAnsi"/>
          <w:b/>
          <w:bCs/>
          <w:sz w:val="24"/>
          <w:szCs w:val="24"/>
        </w:rPr>
        <w:t xml:space="preserve">al triennio 2023/25 </w:t>
      </w:r>
      <w:r w:rsidR="00314A8C" w:rsidRPr="007141B9">
        <w:rPr>
          <w:rFonts w:cstheme="minorHAnsi"/>
          <w:b/>
          <w:bCs/>
          <w:sz w:val="24"/>
          <w:szCs w:val="24"/>
        </w:rPr>
        <w:t>l’assegnazione d</w:t>
      </w:r>
      <w:r w:rsidR="00EA2F53" w:rsidRPr="007141B9">
        <w:rPr>
          <w:rFonts w:cstheme="minorHAnsi"/>
          <w:b/>
          <w:bCs/>
          <w:sz w:val="24"/>
          <w:szCs w:val="24"/>
        </w:rPr>
        <w:t>i 438 milioni,</w:t>
      </w:r>
      <w:r w:rsidRPr="007141B9">
        <w:rPr>
          <w:rFonts w:cstheme="minorHAnsi"/>
          <w:b/>
          <w:bCs/>
          <w:sz w:val="24"/>
          <w:szCs w:val="24"/>
        </w:rPr>
        <w:t xml:space="preserve"> quota di risorse </w:t>
      </w:r>
      <w:r w:rsidR="00EA2F53" w:rsidRPr="007141B9">
        <w:rPr>
          <w:rFonts w:cstheme="minorHAnsi"/>
          <w:b/>
          <w:bCs/>
          <w:sz w:val="24"/>
          <w:szCs w:val="24"/>
        </w:rPr>
        <w:t xml:space="preserve">già </w:t>
      </w:r>
      <w:r w:rsidR="00314A8C" w:rsidRPr="007141B9">
        <w:rPr>
          <w:rFonts w:cstheme="minorHAnsi"/>
          <w:b/>
          <w:bCs/>
          <w:sz w:val="24"/>
          <w:szCs w:val="24"/>
        </w:rPr>
        <w:t>previst</w:t>
      </w:r>
      <w:r w:rsidR="00EA2F53" w:rsidRPr="007141B9">
        <w:rPr>
          <w:rFonts w:cstheme="minorHAnsi"/>
          <w:b/>
          <w:bCs/>
          <w:sz w:val="24"/>
          <w:szCs w:val="24"/>
        </w:rPr>
        <w:t>a</w:t>
      </w:r>
      <w:r w:rsidR="00314A8C" w:rsidRPr="007141B9">
        <w:rPr>
          <w:rFonts w:cstheme="minorHAnsi"/>
          <w:sz w:val="24"/>
          <w:szCs w:val="24"/>
        </w:rPr>
        <w:t xml:space="preserve"> </w:t>
      </w:r>
      <w:r w:rsidR="00EA2F53" w:rsidRPr="007141B9">
        <w:rPr>
          <w:rFonts w:cstheme="minorHAnsi"/>
          <w:sz w:val="24"/>
          <w:szCs w:val="24"/>
        </w:rPr>
        <w:t xml:space="preserve">a favore delle </w:t>
      </w:r>
      <w:r w:rsidRPr="007141B9">
        <w:rPr>
          <w:rFonts w:cstheme="minorHAnsi"/>
          <w:sz w:val="24"/>
          <w:szCs w:val="24"/>
        </w:rPr>
        <w:t xml:space="preserve">Province </w:t>
      </w:r>
      <w:r w:rsidR="00314A8C" w:rsidRPr="007141B9">
        <w:rPr>
          <w:rFonts w:cstheme="minorHAnsi"/>
          <w:sz w:val="24"/>
          <w:szCs w:val="24"/>
        </w:rPr>
        <w:t>dalla legge di bi</w:t>
      </w:r>
      <w:r w:rsidR="00FB077E" w:rsidRPr="007141B9">
        <w:rPr>
          <w:rFonts w:cstheme="minorHAnsi"/>
          <w:sz w:val="24"/>
          <w:szCs w:val="24"/>
        </w:rPr>
        <w:t xml:space="preserve">lancio 2021 </w:t>
      </w:r>
      <w:r w:rsidRPr="007141B9">
        <w:rPr>
          <w:rFonts w:cstheme="minorHAnsi"/>
          <w:sz w:val="24"/>
          <w:szCs w:val="24"/>
        </w:rPr>
        <w:t>per i</w:t>
      </w:r>
      <w:r w:rsidR="00FB077E" w:rsidRPr="007141B9">
        <w:rPr>
          <w:rFonts w:cstheme="minorHAnsi"/>
          <w:sz w:val="24"/>
          <w:szCs w:val="24"/>
        </w:rPr>
        <w:t>l periodo 2023-2031, in modo da</w:t>
      </w:r>
      <w:r w:rsidR="00194A59" w:rsidRPr="007141B9">
        <w:rPr>
          <w:rFonts w:cstheme="minorHAnsi"/>
          <w:sz w:val="24"/>
          <w:szCs w:val="24"/>
        </w:rPr>
        <w:t xml:space="preserve"> ridurre</w:t>
      </w:r>
      <w:r w:rsidR="00EA2F53" w:rsidRPr="007141B9">
        <w:rPr>
          <w:rFonts w:cstheme="minorHAnsi"/>
          <w:sz w:val="24"/>
          <w:szCs w:val="24"/>
        </w:rPr>
        <w:t xml:space="preserve">, anche se solo </w:t>
      </w:r>
      <w:r w:rsidR="00194A59" w:rsidRPr="007141B9">
        <w:rPr>
          <w:rFonts w:cstheme="minorHAnsi"/>
          <w:sz w:val="24"/>
          <w:szCs w:val="24"/>
        </w:rPr>
        <w:t>parzialmente</w:t>
      </w:r>
      <w:r w:rsidR="00EA2F53" w:rsidRPr="007141B9">
        <w:rPr>
          <w:rFonts w:cstheme="minorHAnsi"/>
          <w:sz w:val="24"/>
          <w:szCs w:val="24"/>
        </w:rPr>
        <w:t xml:space="preserve">, lo squilibrio </w:t>
      </w:r>
      <w:r w:rsidR="00FB077E" w:rsidRPr="007141B9">
        <w:rPr>
          <w:rFonts w:cstheme="minorHAnsi"/>
          <w:sz w:val="24"/>
          <w:szCs w:val="24"/>
        </w:rPr>
        <w:t>attestato</w:t>
      </w:r>
      <w:r w:rsidR="00BF7905" w:rsidRPr="007141B9">
        <w:rPr>
          <w:rFonts w:cstheme="minorHAnsi"/>
          <w:sz w:val="24"/>
          <w:szCs w:val="24"/>
        </w:rPr>
        <w:t xml:space="preserve"> dalla CTFS</w:t>
      </w:r>
      <w:r w:rsidR="00CE6241" w:rsidRPr="007141B9">
        <w:rPr>
          <w:rFonts w:cstheme="minorHAnsi"/>
          <w:sz w:val="24"/>
          <w:szCs w:val="24"/>
        </w:rPr>
        <w:t xml:space="preserve">. </w:t>
      </w:r>
    </w:p>
    <w:p w14:paraId="7713E356" w14:textId="77777777" w:rsidR="00FB077E" w:rsidRPr="007141B9" w:rsidRDefault="00FB077E" w:rsidP="007141B9">
      <w:pPr>
        <w:pStyle w:val="Paragrafoelenco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0C1ED888" w14:textId="180317A8" w:rsidR="008C4116" w:rsidRPr="007141B9" w:rsidRDefault="00441D22" w:rsidP="007141B9">
      <w:pPr>
        <w:pStyle w:val="Paragrafoelenco"/>
        <w:numPr>
          <w:ilvl w:val="0"/>
          <w:numId w:val="4"/>
        </w:num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</w:rPr>
      </w:pPr>
      <w:r w:rsidRPr="007141B9">
        <w:rPr>
          <w:rFonts w:cstheme="minorHAnsi"/>
          <w:sz w:val="24"/>
          <w:szCs w:val="24"/>
        </w:rPr>
        <w:t xml:space="preserve">Garantire il ristoro delle </w:t>
      </w:r>
      <w:r w:rsidRPr="007141B9">
        <w:rPr>
          <w:rFonts w:cstheme="minorHAnsi"/>
          <w:b/>
          <w:bCs/>
          <w:sz w:val="24"/>
          <w:szCs w:val="24"/>
        </w:rPr>
        <w:t>minori entrate tributarie per Province</w:t>
      </w:r>
      <w:r w:rsidRPr="007141B9">
        <w:rPr>
          <w:rFonts w:cstheme="minorHAnsi"/>
          <w:sz w:val="24"/>
          <w:szCs w:val="24"/>
        </w:rPr>
        <w:t xml:space="preserve"> </w:t>
      </w:r>
      <w:r w:rsidR="00431ED2" w:rsidRPr="007141B9">
        <w:rPr>
          <w:rFonts w:cstheme="minorHAnsi"/>
          <w:sz w:val="24"/>
          <w:szCs w:val="24"/>
        </w:rPr>
        <w:t>(</w:t>
      </w:r>
      <w:r w:rsidRPr="007141B9">
        <w:rPr>
          <w:rFonts w:cstheme="minorHAnsi"/>
          <w:sz w:val="24"/>
          <w:szCs w:val="24"/>
        </w:rPr>
        <w:t>e C</w:t>
      </w:r>
      <w:r w:rsidR="00431ED2" w:rsidRPr="007141B9">
        <w:rPr>
          <w:rFonts w:cstheme="minorHAnsi"/>
          <w:sz w:val="24"/>
          <w:szCs w:val="24"/>
        </w:rPr>
        <w:t>M)</w:t>
      </w:r>
      <w:r w:rsidRPr="007141B9">
        <w:rPr>
          <w:rFonts w:cstheme="minorHAnsi"/>
          <w:sz w:val="24"/>
          <w:szCs w:val="24"/>
        </w:rPr>
        <w:t xml:space="preserve"> </w:t>
      </w:r>
      <w:bookmarkStart w:id="1" w:name="_Hlk116647273"/>
      <w:r w:rsidR="00516EBC" w:rsidRPr="007141B9">
        <w:rPr>
          <w:rFonts w:cstheme="minorHAnsi"/>
          <w:sz w:val="24"/>
          <w:szCs w:val="24"/>
        </w:rPr>
        <w:t>per gli anni 2023</w:t>
      </w:r>
      <w:r w:rsidR="00456FC4" w:rsidRPr="007141B9">
        <w:rPr>
          <w:rFonts w:cstheme="minorHAnsi"/>
          <w:sz w:val="24"/>
          <w:szCs w:val="24"/>
        </w:rPr>
        <w:t>/</w:t>
      </w:r>
      <w:r w:rsidR="00516EBC" w:rsidRPr="007141B9">
        <w:rPr>
          <w:rFonts w:cstheme="minorHAnsi"/>
          <w:sz w:val="24"/>
          <w:szCs w:val="24"/>
        </w:rPr>
        <w:t>2024</w:t>
      </w:r>
      <w:r w:rsidR="0057300E" w:rsidRPr="007141B9">
        <w:rPr>
          <w:rFonts w:cstheme="minorHAnsi"/>
          <w:sz w:val="24"/>
          <w:szCs w:val="24"/>
        </w:rPr>
        <w:t xml:space="preserve"> </w:t>
      </w:r>
      <w:r w:rsidR="008C4116" w:rsidRPr="007141B9">
        <w:rPr>
          <w:rFonts w:cstheme="minorHAnsi"/>
          <w:sz w:val="24"/>
          <w:szCs w:val="24"/>
        </w:rPr>
        <w:t>per assicurare alle Province (e CM) le stesse risorse tributarie di parte corrente come attestate nel 2021. Considerando l’andamento delle entrate tributarie per il 2022 e il confronto sul 2</w:t>
      </w:r>
      <w:r w:rsidR="00456FC4" w:rsidRPr="007141B9">
        <w:rPr>
          <w:rFonts w:cstheme="minorHAnsi"/>
          <w:sz w:val="24"/>
          <w:szCs w:val="24"/>
        </w:rPr>
        <w:t>0</w:t>
      </w:r>
      <w:r w:rsidR="008C4116" w:rsidRPr="007141B9">
        <w:rPr>
          <w:rFonts w:cstheme="minorHAnsi"/>
          <w:sz w:val="24"/>
          <w:szCs w:val="24"/>
        </w:rPr>
        <w:t>21</w:t>
      </w:r>
      <w:r w:rsidR="008C4116" w:rsidRPr="007141B9">
        <w:rPr>
          <w:rFonts w:cstheme="minorHAnsi"/>
          <w:b/>
          <w:bCs/>
          <w:sz w:val="24"/>
          <w:szCs w:val="24"/>
        </w:rPr>
        <w:t xml:space="preserve">, il fabbisogno stimato è pari a </w:t>
      </w:r>
      <w:r w:rsidR="00456FC4" w:rsidRPr="007141B9">
        <w:rPr>
          <w:rFonts w:cstheme="minorHAnsi"/>
          <w:b/>
          <w:bCs/>
          <w:sz w:val="24"/>
          <w:szCs w:val="24"/>
        </w:rPr>
        <w:t>2</w:t>
      </w:r>
      <w:r w:rsidR="008C4116" w:rsidRPr="007141B9">
        <w:rPr>
          <w:rFonts w:cstheme="minorHAnsi"/>
          <w:b/>
          <w:bCs/>
          <w:sz w:val="24"/>
          <w:szCs w:val="24"/>
        </w:rPr>
        <w:t>00 milioni.</w:t>
      </w:r>
    </w:p>
    <w:p w14:paraId="3006EF9D" w14:textId="16659547" w:rsidR="00431ED2" w:rsidRPr="007141B9" w:rsidRDefault="00431ED2" w:rsidP="007141B9">
      <w:pPr>
        <w:pStyle w:val="Paragrafoelenco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38BEBD4B" w14:textId="6B8F6409" w:rsidR="00370C40" w:rsidRPr="007141B9" w:rsidRDefault="00456FC4" w:rsidP="007141B9">
      <w:pPr>
        <w:pStyle w:val="Paragrafoelenco"/>
        <w:numPr>
          <w:ilvl w:val="0"/>
          <w:numId w:val="4"/>
        </w:num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</w:rPr>
      </w:pPr>
      <w:r w:rsidRPr="007141B9">
        <w:rPr>
          <w:rFonts w:cstheme="minorHAnsi"/>
          <w:sz w:val="24"/>
          <w:szCs w:val="24"/>
        </w:rPr>
        <w:t xml:space="preserve">Consentire la piena applicazione della nuova disciplina delle assunzioni nelle Province (e CM) prevista dal DM </w:t>
      </w:r>
      <w:r w:rsidR="00370C40" w:rsidRPr="007141B9">
        <w:rPr>
          <w:rFonts w:cstheme="minorHAnsi"/>
          <w:sz w:val="24"/>
          <w:szCs w:val="24"/>
        </w:rPr>
        <w:t>11 gennaio 2022 attraverso la “</w:t>
      </w:r>
      <w:r w:rsidR="00370C40" w:rsidRPr="007141B9">
        <w:rPr>
          <w:rFonts w:cstheme="minorHAnsi"/>
          <w:b/>
          <w:bCs/>
          <w:sz w:val="24"/>
          <w:szCs w:val="24"/>
          <w:u w:val="single"/>
        </w:rPr>
        <w:t>neutralizzazione</w:t>
      </w:r>
      <w:r w:rsidR="00370C40" w:rsidRPr="007141B9">
        <w:rPr>
          <w:rFonts w:cstheme="minorHAnsi"/>
          <w:b/>
          <w:bCs/>
          <w:sz w:val="24"/>
          <w:szCs w:val="24"/>
        </w:rPr>
        <w:t xml:space="preserve">” </w:t>
      </w:r>
      <w:r w:rsidR="00370C40" w:rsidRPr="007141B9">
        <w:rPr>
          <w:rFonts w:cstheme="minorHAnsi"/>
          <w:sz w:val="24"/>
          <w:szCs w:val="24"/>
        </w:rPr>
        <w:t>della spesa riferita agli incrementi contrattuali a regime e degli oneri conseguenti all’articolo 62 della presente Legge di Bilancio.</w:t>
      </w:r>
      <w:r w:rsidR="00370C40" w:rsidRPr="007141B9">
        <w:rPr>
          <w:rFonts w:cstheme="minorHAnsi"/>
          <w:b/>
          <w:bCs/>
          <w:sz w:val="24"/>
          <w:szCs w:val="24"/>
        </w:rPr>
        <w:t xml:space="preserve"> </w:t>
      </w:r>
      <w:r w:rsidR="00BF7905" w:rsidRPr="007141B9">
        <w:rPr>
          <w:rFonts w:cstheme="minorHAnsi"/>
          <w:b/>
          <w:bCs/>
          <w:sz w:val="24"/>
          <w:szCs w:val="24"/>
        </w:rPr>
        <w:t xml:space="preserve">La neutralizzazione di queste voci di spesa per le Province è stimata in 30 milioni. </w:t>
      </w:r>
    </w:p>
    <w:p w14:paraId="0870CAE1" w14:textId="77777777" w:rsidR="00370C40" w:rsidRPr="007141B9" w:rsidRDefault="00370C40" w:rsidP="007141B9">
      <w:pPr>
        <w:pStyle w:val="Paragrafoelenco"/>
        <w:spacing w:after="0" w:line="240" w:lineRule="auto"/>
        <w:ind w:left="284"/>
        <w:rPr>
          <w:rFonts w:cstheme="minorHAnsi"/>
          <w:sz w:val="24"/>
          <w:szCs w:val="24"/>
        </w:rPr>
      </w:pPr>
    </w:p>
    <w:p w14:paraId="520E50C5" w14:textId="5381CF94" w:rsidR="00370C40" w:rsidRPr="007141B9" w:rsidRDefault="00370C40" w:rsidP="007141B9">
      <w:pPr>
        <w:pStyle w:val="Paragrafoelenco"/>
        <w:numPr>
          <w:ilvl w:val="0"/>
          <w:numId w:val="4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141B9">
        <w:rPr>
          <w:rFonts w:cstheme="minorHAnsi"/>
          <w:b/>
          <w:bCs/>
          <w:sz w:val="24"/>
          <w:szCs w:val="24"/>
        </w:rPr>
        <w:t xml:space="preserve">Eliminare la spending review prevista per il triennio 2023/2025 </w:t>
      </w:r>
      <w:r w:rsidRPr="007141B9">
        <w:rPr>
          <w:rFonts w:cstheme="minorHAnsi"/>
          <w:sz w:val="24"/>
          <w:szCs w:val="24"/>
        </w:rPr>
        <w:t xml:space="preserve">a carico delle Province (e CM). Si tratta di una previsione legislativa contenuta nella legge di bilancio 2021 secondo la quale il legislatore ha ipotizzato che le Province (e CM), </w:t>
      </w:r>
      <w:r w:rsidR="00BF7905" w:rsidRPr="007141B9">
        <w:rPr>
          <w:rFonts w:cstheme="minorHAnsi"/>
          <w:sz w:val="24"/>
          <w:szCs w:val="24"/>
        </w:rPr>
        <w:t>attraverso la</w:t>
      </w:r>
      <w:r w:rsidRPr="007141B9">
        <w:rPr>
          <w:rFonts w:cstheme="minorHAnsi"/>
          <w:sz w:val="24"/>
          <w:szCs w:val="24"/>
        </w:rPr>
        <w:t xml:space="preserve"> digitalizzazione</w:t>
      </w:r>
      <w:r w:rsidR="00BF7905" w:rsidRPr="007141B9">
        <w:rPr>
          <w:rFonts w:cstheme="minorHAnsi"/>
          <w:sz w:val="24"/>
          <w:szCs w:val="24"/>
        </w:rPr>
        <w:t xml:space="preserve">, </w:t>
      </w:r>
      <w:r w:rsidRPr="007141B9">
        <w:rPr>
          <w:rFonts w:cstheme="minorHAnsi"/>
          <w:sz w:val="24"/>
          <w:szCs w:val="24"/>
        </w:rPr>
        <w:t xml:space="preserve">risparmiare 50 milioni l’anno per tre anni. </w:t>
      </w:r>
      <w:r w:rsidR="00BF7905" w:rsidRPr="007141B9">
        <w:rPr>
          <w:rFonts w:cstheme="minorHAnsi"/>
          <w:sz w:val="24"/>
          <w:szCs w:val="24"/>
        </w:rPr>
        <w:t xml:space="preserve">Una spending review su questi enti è </w:t>
      </w:r>
      <w:r w:rsidRPr="007141B9">
        <w:rPr>
          <w:rFonts w:cstheme="minorHAnsi"/>
          <w:sz w:val="24"/>
          <w:szCs w:val="24"/>
        </w:rPr>
        <w:t>incongru</w:t>
      </w:r>
      <w:r w:rsidR="00BF7905" w:rsidRPr="007141B9">
        <w:rPr>
          <w:rFonts w:cstheme="minorHAnsi"/>
          <w:sz w:val="24"/>
          <w:szCs w:val="24"/>
        </w:rPr>
        <w:t xml:space="preserve">a </w:t>
      </w:r>
      <w:r w:rsidRPr="007141B9">
        <w:rPr>
          <w:rFonts w:cstheme="minorHAnsi"/>
          <w:sz w:val="24"/>
          <w:szCs w:val="24"/>
        </w:rPr>
        <w:t xml:space="preserve">e </w:t>
      </w:r>
      <w:r w:rsidR="00BF7905" w:rsidRPr="007141B9">
        <w:rPr>
          <w:rFonts w:cstheme="minorHAnsi"/>
          <w:sz w:val="24"/>
          <w:szCs w:val="24"/>
        </w:rPr>
        <w:t>fortemente penalizzante.</w:t>
      </w:r>
    </w:p>
    <w:p w14:paraId="108717EC" w14:textId="77777777" w:rsidR="00370C40" w:rsidRPr="007141B9" w:rsidRDefault="00370C40" w:rsidP="007141B9">
      <w:pPr>
        <w:pStyle w:val="Paragrafoelenco"/>
        <w:spacing w:after="0" w:line="240" w:lineRule="auto"/>
        <w:ind w:left="284"/>
        <w:rPr>
          <w:rFonts w:cstheme="minorHAnsi"/>
          <w:sz w:val="24"/>
          <w:szCs w:val="24"/>
        </w:rPr>
      </w:pPr>
    </w:p>
    <w:p w14:paraId="0C524D2B" w14:textId="1B3162AF" w:rsidR="0067618F" w:rsidRPr="007141B9" w:rsidRDefault="00471FC3" w:rsidP="007141B9">
      <w:pPr>
        <w:pStyle w:val="Paragrafoelenco"/>
        <w:numPr>
          <w:ilvl w:val="0"/>
          <w:numId w:val="4"/>
        </w:num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</w:rPr>
      </w:pPr>
      <w:r w:rsidRPr="007141B9">
        <w:rPr>
          <w:rFonts w:cstheme="minorHAnsi"/>
          <w:sz w:val="24"/>
          <w:szCs w:val="24"/>
        </w:rPr>
        <w:t xml:space="preserve">Prevedere un </w:t>
      </w:r>
      <w:r w:rsidRPr="007141B9">
        <w:rPr>
          <w:rFonts w:cstheme="minorHAnsi"/>
          <w:b/>
          <w:bCs/>
          <w:sz w:val="24"/>
          <w:szCs w:val="24"/>
        </w:rPr>
        <w:t>piano di assunzioni straordinario, a carico del bilancio dello Stato per il triennio 2023/2025 per 500 unità</w:t>
      </w:r>
      <w:r w:rsidRPr="007141B9">
        <w:rPr>
          <w:rFonts w:cstheme="minorHAnsi"/>
          <w:sz w:val="24"/>
          <w:szCs w:val="24"/>
        </w:rPr>
        <w:t xml:space="preserve"> </w:t>
      </w:r>
      <w:r w:rsidR="00516EBC" w:rsidRPr="007141B9">
        <w:rPr>
          <w:rFonts w:cstheme="minorHAnsi"/>
          <w:sz w:val="24"/>
          <w:szCs w:val="24"/>
        </w:rPr>
        <w:t xml:space="preserve">(figure non dirigenziali) </w:t>
      </w:r>
      <w:r w:rsidR="0067618F" w:rsidRPr="007141B9">
        <w:rPr>
          <w:rFonts w:cstheme="minorHAnsi"/>
          <w:b/>
          <w:bCs/>
          <w:sz w:val="24"/>
          <w:szCs w:val="24"/>
        </w:rPr>
        <w:t>a tempo determinato</w:t>
      </w:r>
      <w:r w:rsidR="0067618F" w:rsidRPr="007141B9">
        <w:rPr>
          <w:rFonts w:cstheme="minorHAnsi"/>
          <w:sz w:val="24"/>
          <w:szCs w:val="24"/>
        </w:rPr>
        <w:t xml:space="preserve"> </w:t>
      </w:r>
      <w:r w:rsidRPr="007141B9">
        <w:rPr>
          <w:rFonts w:cstheme="minorHAnsi"/>
          <w:sz w:val="24"/>
          <w:szCs w:val="24"/>
        </w:rPr>
        <w:t xml:space="preserve">da destinare al rafforzamento delle strutture </w:t>
      </w:r>
      <w:r w:rsidR="00431ED2" w:rsidRPr="007141B9">
        <w:rPr>
          <w:rFonts w:cstheme="minorHAnsi"/>
          <w:sz w:val="24"/>
          <w:szCs w:val="24"/>
        </w:rPr>
        <w:t>tecniche</w:t>
      </w:r>
      <w:r w:rsidR="00516EBC" w:rsidRPr="007141B9">
        <w:rPr>
          <w:rFonts w:cstheme="minorHAnsi"/>
          <w:sz w:val="24"/>
          <w:szCs w:val="24"/>
        </w:rPr>
        <w:t xml:space="preserve"> </w:t>
      </w:r>
      <w:r w:rsidR="00C87ABC" w:rsidRPr="007141B9">
        <w:rPr>
          <w:rFonts w:cstheme="minorHAnsi"/>
          <w:sz w:val="24"/>
          <w:szCs w:val="24"/>
        </w:rPr>
        <w:t>(progettisti</w:t>
      </w:r>
      <w:r w:rsidR="00516EBC" w:rsidRPr="007141B9">
        <w:rPr>
          <w:rFonts w:cstheme="minorHAnsi"/>
          <w:sz w:val="24"/>
          <w:szCs w:val="24"/>
        </w:rPr>
        <w:t xml:space="preserve">, specialisti in tutte le fasi di appalto, </w:t>
      </w:r>
      <w:r w:rsidR="00C47E28" w:rsidRPr="007141B9">
        <w:rPr>
          <w:rFonts w:cstheme="minorHAnsi"/>
          <w:sz w:val="24"/>
          <w:szCs w:val="24"/>
        </w:rPr>
        <w:t>operatori</w:t>
      </w:r>
      <w:r w:rsidR="00516EBC" w:rsidRPr="007141B9">
        <w:rPr>
          <w:rFonts w:cstheme="minorHAnsi"/>
          <w:sz w:val="24"/>
          <w:szCs w:val="24"/>
        </w:rPr>
        <w:t xml:space="preserve"> finanziari</w:t>
      </w:r>
      <w:r w:rsidR="00C47E28" w:rsidRPr="007141B9">
        <w:rPr>
          <w:rFonts w:cstheme="minorHAnsi"/>
          <w:sz w:val="24"/>
          <w:szCs w:val="24"/>
        </w:rPr>
        <w:t xml:space="preserve"> e</w:t>
      </w:r>
      <w:r w:rsidR="00516EBC" w:rsidRPr="007141B9">
        <w:rPr>
          <w:rFonts w:cstheme="minorHAnsi"/>
          <w:sz w:val="24"/>
          <w:szCs w:val="24"/>
        </w:rPr>
        <w:t xml:space="preserve"> della transizione digitale</w:t>
      </w:r>
      <w:r w:rsidR="00BF7905" w:rsidRPr="007141B9">
        <w:rPr>
          <w:rFonts w:cstheme="minorHAnsi"/>
          <w:sz w:val="24"/>
          <w:szCs w:val="24"/>
        </w:rPr>
        <w:t xml:space="preserve">, </w:t>
      </w:r>
      <w:proofErr w:type="spellStart"/>
      <w:r w:rsidR="00BF7905" w:rsidRPr="007141B9">
        <w:rPr>
          <w:rFonts w:cstheme="minorHAnsi"/>
          <w:sz w:val="24"/>
          <w:szCs w:val="24"/>
        </w:rPr>
        <w:t>etc</w:t>
      </w:r>
      <w:proofErr w:type="spellEnd"/>
      <w:r w:rsidR="00BF7905" w:rsidRPr="007141B9">
        <w:rPr>
          <w:rFonts w:cstheme="minorHAnsi"/>
          <w:sz w:val="24"/>
          <w:szCs w:val="24"/>
        </w:rPr>
        <w:t>…</w:t>
      </w:r>
      <w:r w:rsidR="00516EBC" w:rsidRPr="007141B9">
        <w:rPr>
          <w:rFonts w:cstheme="minorHAnsi"/>
          <w:sz w:val="24"/>
          <w:szCs w:val="24"/>
        </w:rPr>
        <w:t>)</w:t>
      </w:r>
      <w:r w:rsidR="0067618F" w:rsidRPr="007141B9">
        <w:rPr>
          <w:rFonts w:cstheme="minorHAnsi"/>
          <w:sz w:val="24"/>
          <w:szCs w:val="24"/>
        </w:rPr>
        <w:t xml:space="preserve">. Il costo stimato è di </w:t>
      </w:r>
      <w:r w:rsidR="0067618F" w:rsidRPr="007141B9">
        <w:rPr>
          <w:rFonts w:cstheme="minorHAnsi"/>
          <w:b/>
          <w:bCs/>
          <w:sz w:val="24"/>
          <w:szCs w:val="24"/>
        </w:rPr>
        <w:t>20 milioni annui per ciascuno degli anni 2023/2025</w:t>
      </w:r>
      <w:r w:rsidR="00516EBC" w:rsidRPr="007141B9">
        <w:rPr>
          <w:rFonts w:cstheme="minorHAnsi"/>
          <w:b/>
          <w:bCs/>
          <w:sz w:val="24"/>
          <w:szCs w:val="24"/>
        </w:rPr>
        <w:t>.</w:t>
      </w:r>
    </w:p>
    <w:p w14:paraId="4E457688" w14:textId="77777777" w:rsidR="0057300E" w:rsidRPr="007141B9" w:rsidRDefault="0057300E" w:rsidP="007141B9">
      <w:pPr>
        <w:pStyle w:val="Paragrafoelenco"/>
        <w:spacing w:after="0" w:line="240" w:lineRule="auto"/>
        <w:ind w:left="284"/>
        <w:rPr>
          <w:rFonts w:cstheme="minorHAnsi"/>
          <w:b/>
          <w:bCs/>
          <w:sz w:val="24"/>
          <w:szCs w:val="24"/>
        </w:rPr>
      </w:pPr>
    </w:p>
    <w:bookmarkEnd w:id="1"/>
    <w:p w14:paraId="20FBEB97" w14:textId="0364113C" w:rsidR="00441D22" w:rsidRPr="007141B9" w:rsidRDefault="00441D22" w:rsidP="007141B9">
      <w:pPr>
        <w:pStyle w:val="Paragrafoelenco"/>
        <w:numPr>
          <w:ilvl w:val="0"/>
          <w:numId w:val="4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141B9">
        <w:rPr>
          <w:rFonts w:cstheme="minorHAnsi"/>
          <w:b/>
          <w:bCs/>
          <w:sz w:val="24"/>
          <w:szCs w:val="24"/>
        </w:rPr>
        <w:t>Eliminare il contributo alla finanza pubblica legato ai costi della politica per 52 milioni di euro</w:t>
      </w:r>
      <w:r w:rsidR="00391798" w:rsidRPr="007141B9">
        <w:rPr>
          <w:rFonts w:cstheme="minorHAnsi"/>
          <w:sz w:val="24"/>
          <w:szCs w:val="24"/>
        </w:rPr>
        <w:t>, in ragione del fatto che è stata reintrodotta una indennità per i Sindaci in qualità di Presidenti di Provincia</w:t>
      </w:r>
      <w:r w:rsidR="0067618F" w:rsidRPr="007141B9">
        <w:rPr>
          <w:rFonts w:cstheme="minorHAnsi"/>
          <w:sz w:val="24"/>
          <w:szCs w:val="24"/>
        </w:rPr>
        <w:t xml:space="preserve"> ma contestualmente non è stat</w:t>
      </w:r>
      <w:r w:rsidR="00516EBC" w:rsidRPr="007141B9">
        <w:rPr>
          <w:rFonts w:cstheme="minorHAnsi"/>
          <w:sz w:val="24"/>
          <w:szCs w:val="24"/>
        </w:rPr>
        <w:t>o</w:t>
      </w:r>
      <w:r w:rsidR="0067618F" w:rsidRPr="007141B9">
        <w:rPr>
          <w:rFonts w:cstheme="minorHAnsi"/>
          <w:sz w:val="24"/>
          <w:szCs w:val="24"/>
        </w:rPr>
        <w:t xml:space="preserve"> previsto alcun ristoro finanziario</w:t>
      </w:r>
      <w:r w:rsidR="00BF7905" w:rsidRPr="007141B9">
        <w:rPr>
          <w:rFonts w:cstheme="minorHAnsi"/>
          <w:sz w:val="24"/>
          <w:szCs w:val="24"/>
        </w:rPr>
        <w:t>.</w:t>
      </w:r>
      <w:bookmarkEnd w:id="0"/>
    </w:p>
    <w:sectPr w:rsidR="00441D22" w:rsidRPr="007141B9" w:rsidSect="00BF7905">
      <w:footerReference w:type="default" r:id="rId9"/>
      <w:pgSz w:w="11906" w:h="16838"/>
      <w:pgMar w:top="85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EA245" w14:textId="77777777" w:rsidR="00B966A6" w:rsidRDefault="00B966A6" w:rsidP="00554942">
      <w:pPr>
        <w:spacing w:after="0" w:line="240" w:lineRule="auto"/>
      </w:pPr>
      <w:r>
        <w:separator/>
      </w:r>
    </w:p>
  </w:endnote>
  <w:endnote w:type="continuationSeparator" w:id="0">
    <w:p w14:paraId="37549C89" w14:textId="77777777" w:rsidR="00B966A6" w:rsidRDefault="00B966A6" w:rsidP="00554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7841362"/>
      <w:docPartObj>
        <w:docPartGallery w:val="Page Numbers (Bottom of Page)"/>
        <w:docPartUnique/>
      </w:docPartObj>
    </w:sdtPr>
    <w:sdtEndPr/>
    <w:sdtContent>
      <w:p w14:paraId="074CC3B0" w14:textId="1F4C91B1" w:rsidR="00554942" w:rsidRDefault="0055494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A77ED7" w14:textId="77777777" w:rsidR="00554942" w:rsidRDefault="005549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A4366" w14:textId="77777777" w:rsidR="00B966A6" w:rsidRDefault="00B966A6" w:rsidP="00554942">
      <w:pPr>
        <w:spacing w:after="0" w:line="240" w:lineRule="auto"/>
      </w:pPr>
      <w:r>
        <w:separator/>
      </w:r>
    </w:p>
  </w:footnote>
  <w:footnote w:type="continuationSeparator" w:id="0">
    <w:p w14:paraId="4747053D" w14:textId="77777777" w:rsidR="00B966A6" w:rsidRDefault="00B966A6" w:rsidP="00554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5D3A"/>
    <w:multiLevelType w:val="hybridMultilevel"/>
    <w:tmpl w:val="345063AC"/>
    <w:lvl w:ilvl="0" w:tplc="17547A04">
      <w:start w:val="1"/>
      <w:numFmt w:val="decimal"/>
      <w:lvlText w:val="%1)"/>
      <w:lvlJc w:val="left"/>
      <w:pPr>
        <w:ind w:left="4613" w:hanging="360"/>
      </w:pPr>
      <w:rPr>
        <w:rFonts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" w15:restartNumberingAfterBreak="0">
    <w:nsid w:val="0D286249"/>
    <w:multiLevelType w:val="hybridMultilevel"/>
    <w:tmpl w:val="F990BA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6E49"/>
    <w:multiLevelType w:val="hybridMultilevel"/>
    <w:tmpl w:val="6B60C3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65271"/>
    <w:multiLevelType w:val="hybridMultilevel"/>
    <w:tmpl w:val="2D462834"/>
    <w:lvl w:ilvl="0" w:tplc="1C9AB5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07F8E"/>
    <w:multiLevelType w:val="hybridMultilevel"/>
    <w:tmpl w:val="38D0EBB2"/>
    <w:lvl w:ilvl="0" w:tplc="B6A2F6C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427B7"/>
    <w:multiLevelType w:val="hybridMultilevel"/>
    <w:tmpl w:val="B6243ABC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1ED3548"/>
    <w:multiLevelType w:val="hybridMultilevel"/>
    <w:tmpl w:val="D9E0EA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C1E70"/>
    <w:multiLevelType w:val="hybridMultilevel"/>
    <w:tmpl w:val="762A83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0503A"/>
    <w:multiLevelType w:val="hybridMultilevel"/>
    <w:tmpl w:val="5838EB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75618"/>
    <w:multiLevelType w:val="hybridMultilevel"/>
    <w:tmpl w:val="EF9267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B34FB"/>
    <w:multiLevelType w:val="hybridMultilevel"/>
    <w:tmpl w:val="24A8C34C"/>
    <w:lvl w:ilvl="0" w:tplc="A372E65E">
      <w:start w:val="3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3604"/>
    <w:multiLevelType w:val="hybridMultilevel"/>
    <w:tmpl w:val="75722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C5660"/>
    <w:multiLevelType w:val="hybridMultilevel"/>
    <w:tmpl w:val="C7FA66E0"/>
    <w:lvl w:ilvl="0" w:tplc="CC6E44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12BF"/>
    <w:multiLevelType w:val="hybridMultilevel"/>
    <w:tmpl w:val="A4E8F1FA"/>
    <w:lvl w:ilvl="0" w:tplc="C7F0D2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36D36"/>
    <w:multiLevelType w:val="multilevel"/>
    <w:tmpl w:val="EEF6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EC1E26"/>
    <w:multiLevelType w:val="hybridMultilevel"/>
    <w:tmpl w:val="B00E85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C2FD8"/>
    <w:multiLevelType w:val="hybridMultilevel"/>
    <w:tmpl w:val="38EC4802"/>
    <w:lvl w:ilvl="0" w:tplc="C7F0D2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F717B"/>
    <w:multiLevelType w:val="hybridMultilevel"/>
    <w:tmpl w:val="B29EDBE8"/>
    <w:lvl w:ilvl="0" w:tplc="44A0FB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174FF"/>
    <w:multiLevelType w:val="hybridMultilevel"/>
    <w:tmpl w:val="3BF6C2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B6A40"/>
    <w:multiLevelType w:val="hybridMultilevel"/>
    <w:tmpl w:val="4D262FD6"/>
    <w:lvl w:ilvl="0" w:tplc="BF6C3576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33E56"/>
    <w:multiLevelType w:val="hybridMultilevel"/>
    <w:tmpl w:val="DA78BD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896486">
    <w:abstractNumId w:val="4"/>
  </w:num>
  <w:num w:numId="2" w16cid:durableId="1542205468">
    <w:abstractNumId w:val="13"/>
  </w:num>
  <w:num w:numId="3" w16cid:durableId="386496352">
    <w:abstractNumId w:val="16"/>
  </w:num>
  <w:num w:numId="4" w16cid:durableId="1815642056">
    <w:abstractNumId w:val="0"/>
  </w:num>
  <w:num w:numId="5" w16cid:durableId="1284769927">
    <w:abstractNumId w:val="7"/>
  </w:num>
  <w:num w:numId="6" w16cid:durableId="1457872154">
    <w:abstractNumId w:val="15"/>
  </w:num>
  <w:num w:numId="7" w16cid:durableId="290986458">
    <w:abstractNumId w:val="1"/>
  </w:num>
  <w:num w:numId="8" w16cid:durableId="393743633">
    <w:abstractNumId w:val="14"/>
  </w:num>
  <w:num w:numId="9" w16cid:durableId="1483038602">
    <w:abstractNumId w:val="19"/>
  </w:num>
  <w:num w:numId="10" w16cid:durableId="1080559930">
    <w:abstractNumId w:val="18"/>
  </w:num>
  <w:num w:numId="11" w16cid:durableId="840046422">
    <w:abstractNumId w:val="20"/>
  </w:num>
  <w:num w:numId="12" w16cid:durableId="1409619672">
    <w:abstractNumId w:val="6"/>
  </w:num>
  <w:num w:numId="13" w16cid:durableId="1341471704">
    <w:abstractNumId w:val="9"/>
  </w:num>
  <w:num w:numId="14" w16cid:durableId="1895433316">
    <w:abstractNumId w:val="8"/>
  </w:num>
  <w:num w:numId="15" w16cid:durableId="190387168">
    <w:abstractNumId w:val="17"/>
  </w:num>
  <w:num w:numId="16" w16cid:durableId="1426920828">
    <w:abstractNumId w:val="12"/>
  </w:num>
  <w:num w:numId="17" w16cid:durableId="1296108728">
    <w:abstractNumId w:val="2"/>
  </w:num>
  <w:num w:numId="18" w16cid:durableId="709842145">
    <w:abstractNumId w:val="3"/>
  </w:num>
  <w:num w:numId="19" w16cid:durableId="1751199561">
    <w:abstractNumId w:val="11"/>
  </w:num>
  <w:num w:numId="20" w16cid:durableId="507334940">
    <w:abstractNumId w:val="5"/>
  </w:num>
  <w:num w:numId="21" w16cid:durableId="4539871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C2"/>
    <w:rsid w:val="00032A4A"/>
    <w:rsid w:val="00053EE5"/>
    <w:rsid w:val="000732F0"/>
    <w:rsid w:val="00094378"/>
    <w:rsid w:val="000E1EE1"/>
    <w:rsid w:val="001370A6"/>
    <w:rsid w:val="00194A59"/>
    <w:rsid w:val="00197153"/>
    <w:rsid w:val="001B0DD8"/>
    <w:rsid w:val="001C5A62"/>
    <w:rsid w:val="001F1E33"/>
    <w:rsid w:val="00220566"/>
    <w:rsid w:val="00227611"/>
    <w:rsid w:val="00237D93"/>
    <w:rsid w:val="00252867"/>
    <w:rsid w:val="0025359D"/>
    <w:rsid w:val="002613EC"/>
    <w:rsid w:val="002A0380"/>
    <w:rsid w:val="002A25DE"/>
    <w:rsid w:val="002B45C0"/>
    <w:rsid w:val="002F78B5"/>
    <w:rsid w:val="003026AE"/>
    <w:rsid w:val="00314A8C"/>
    <w:rsid w:val="003237CA"/>
    <w:rsid w:val="00370C40"/>
    <w:rsid w:val="00386051"/>
    <w:rsid w:val="00391798"/>
    <w:rsid w:val="003A16EF"/>
    <w:rsid w:val="003D2BA5"/>
    <w:rsid w:val="003D4C54"/>
    <w:rsid w:val="00431ED2"/>
    <w:rsid w:val="00441D22"/>
    <w:rsid w:val="004460A2"/>
    <w:rsid w:val="00456FC4"/>
    <w:rsid w:val="00471FC3"/>
    <w:rsid w:val="004734E3"/>
    <w:rsid w:val="004975C2"/>
    <w:rsid w:val="004A1CE9"/>
    <w:rsid w:val="004B055B"/>
    <w:rsid w:val="0050018E"/>
    <w:rsid w:val="00501C6A"/>
    <w:rsid w:val="00516EBC"/>
    <w:rsid w:val="005476CB"/>
    <w:rsid w:val="00554942"/>
    <w:rsid w:val="0057300E"/>
    <w:rsid w:val="005D1D85"/>
    <w:rsid w:val="00610D6F"/>
    <w:rsid w:val="006225AC"/>
    <w:rsid w:val="00631DF6"/>
    <w:rsid w:val="0064494D"/>
    <w:rsid w:val="0067618F"/>
    <w:rsid w:val="0068484B"/>
    <w:rsid w:val="0068495A"/>
    <w:rsid w:val="00697514"/>
    <w:rsid w:val="006C62E6"/>
    <w:rsid w:val="006D5422"/>
    <w:rsid w:val="007141B9"/>
    <w:rsid w:val="007171B7"/>
    <w:rsid w:val="00735A2E"/>
    <w:rsid w:val="00744B18"/>
    <w:rsid w:val="007D328C"/>
    <w:rsid w:val="00804FD5"/>
    <w:rsid w:val="008176AD"/>
    <w:rsid w:val="008469FC"/>
    <w:rsid w:val="00894217"/>
    <w:rsid w:val="008A2907"/>
    <w:rsid w:val="008B5FC4"/>
    <w:rsid w:val="008B6E66"/>
    <w:rsid w:val="008C4116"/>
    <w:rsid w:val="008D0218"/>
    <w:rsid w:val="009008C3"/>
    <w:rsid w:val="00920419"/>
    <w:rsid w:val="009679A8"/>
    <w:rsid w:val="0097155D"/>
    <w:rsid w:val="009F3093"/>
    <w:rsid w:val="00A33051"/>
    <w:rsid w:val="00A44DC4"/>
    <w:rsid w:val="00A634AD"/>
    <w:rsid w:val="00B01472"/>
    <w:rsid w:val="00B02E7D"/>
    <w:rsid w:val="00B21998"/>
    <w:rsid w:val="00B326C9"/>
    <w:rsid w:val="00B4077E"/>
    <w:rsid w:val="00B91E84"/>
    <w:rsid w:val="00B961DB"/>
    <w:rsid w:val="00B966A6"/>
    <w:rsid w:val="00BA3E5B"/>
    <w:rsid w:val="00BF7905"/>
    <w:rsid w:val="00C1765F"/>
    <w:rsid w:val="00C30231"/>
    <w:rsid w:val="00C47E28"/>
    <w:rsid w:val="00C87ABC"/>
    <w:rsid w:val="00CA4AB3"/>
    <w:rsid w:val="00CD45FF"/>
    <w:rsid w:val="00CE6241"/>
    <w:rsid w:val="00D03FD0"/>
    <w:rsid w:val="00DB2E1F"/>
    <w:rsid w:val="00DC1890"/>
    <w:rsid w:val="00DF22C3"/>
    <w:rsid w:val="00E06C06"/>
    <w:rsid w:val="00E1409E"/>
    <w:rsid w:val="00EA2F53"/>
    <w:rsid w:val="00EA4CD2"/>
    <w:rsid w:val="00EB5BFC"/>
    <w:rsid w:val="00EF1C56"/>
    <w:rsid w:val="00EF7B54"/>
    <w:rsid w:val="00F664E8"/>
    <w:rsid w:val="00F906B4"/>
    <w:rsid w:val="00FB077E"/>
    <w:rsid w:val="00FB0F4B"/>
    <w:rsid w:val="00FE021F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B42B"/>
  <w15:chartTrackingRefBased/>
  <w15:docId w15:val="{C0884761-E0CE-4C87-A070-0E0069F4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6449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4975C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9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B0DD8"/>
    <w:rPr>
      <w:i/>
      <w:iCs/>
    </w:rPr>
  </w:style>
  <w:style w:type="character" w:styleId="Enfasigrassetto">
    <w:name w:val="Strong"/>
    <w:basedOn w:val="Carpredefinitoparagrafo"/>
    <w:uiPriority w:val="22"/>
    <w:qFormat/>
    <w:rsid w:val="001B0DD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9679A8"/>
    <w:rPr>
      <w:color w:val="0000FF"/>
      <w:u w:val="single"/>
    </w:rPr>
  </w:style>
  <w:style w:type="character" w:customStyle="1" w:styleId="provvnumcomma">
    <w:name w:val="provv_numcomma"/>
    <w:basedOn w:val="Carpredefinitoparagrafo"/>
    <w:rsid w:val="00471FC3"/>
  </w:style>
  <w:style w:type="paragraph" w:styleId="Intestazione">
    <w:name w:val="header"/>
    <w:basedOn w:val="Normale"/>
    <w:link w:val="IntestazioneCarattere"/>
    <w:uiPriority w:val="99"/>
    <w:unhideWhenUsed/>
    <w:rsid w:val="005549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4942"/>
  </w:style>
  <w:style w:type="paragraph" w:styleId="Pidipagina">
    <w:name w:val="footer"/>
    <w:basedOn w:val="Normale"/>
    <w:link w:val="PidipaginaCarattere"/>
    <w:uiPriority w:val="99"/>
    <w:unhideWhenUsed/>
    <w:rsid w:val="005549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4942"/>
  </w:style>
  <w:style w:type="character" w:customStyle="1" w:styleId="Titolo3Carattere">
    <w:name w:val="Titolo 3 Carattere"/>
    <w:basedOn w:val="Carpredefinitoparagrafo"/>
    <w:link w:val="Titolo3"/>
    <w:uiPriority w:val="9"/>
    <w:rsid w:val="0064494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Default">
    <w:name w:val="Default"/>
    <w:rsid w:val="00227611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FE021F"/>
  </w:style>
  <w:style w:type="table" w:styleId="Grigliatabella">
    <w:name w:val="Table Grid"/>
    <w:basedOn w:val="Tabellanormale"/>
    <w:uiPriority w:val="39"/>
    <w:rsid w:val="00252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1">
    <w:name w:val="Grid Table 4 Accent 1"/>
    <w:basedOn w:val="Tabellanormale"/>
    <w:uiPriority w:val="49"/>
    <w:rsid w:val="0025286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Revisione">
    <w:name w:val="Revision"/>
    <w:hidden/>
    <w:uiPriority w:val="99"/>
    <w:semiHidden/>
    <w:rsid w:val="002B45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A54F7-3585-4BA2-B89C-9BEEAF30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Gottardi</dc:creator>
  <cp:keywords/>
  <dc:description/>
  <cp:lastModifiedBy>Barbara Perluigi</cp:lastModifiedBy>
  <cp:revision>4</cp:revision>
  <dcterms:created xsi:type="dcterms:W3CDTF">2023-01-17T09:20:00Z</dcterms:created>
  <dcterms:modified xsi:type="dcterms:W3CDTF">2023-01-17T14:59:00Z</dcterms:modified>
</cp:coreProperties>
</file>