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BC36D" w14:textId="220D9DDC" w:rsidR="00467927" w:rsidRDefault="005B0537" w:rsidP="005B0537">
      <w:pPr>
        <w:jc w:val="center"/>
      </w:pPr>
      <w:r>
        <w:rPr>
          <w:noProof/>
          <w:lang w:eastAsia="it-IT"/>
        </w:rPr>
        <w:drawing>
          <wp:inline distT="0" distB="0" distL="0" distR="0" wp14:anchorId="7F6DBE36" wp14:editId="379961D8">
            <wp:extent cx="2523866" cy="18954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tretch>
                      <a:fillRect/>
                    </a:stretch>
                  </pic:blipFill>
                  <pic:spPr>
                    <a:xfrm>
                      <a:off x="0" y="0"/>
                      <a:ext cx="2528683" cy="1899092"/>
                    </a:xfrm>
                    <a:prstGeom prst="rect">
                      <a:avLst/>
                    </a:prstGeom>
                  </pic:spPr>
                </pic:pic>
              </a:graphicData>
            </a:graphic>
          </wp:inline>
        </w:drawing>
      </w:r>
    </w:p>
    <w:p w14:paraId="13852071" w14:textId="77777777" w:rsidR="005B0537" w:rsidRDefault="005B0537"/>
    <w:p w14:paraId="36E4350F" w14:textId="77777777" w:rsidR="005B0537" w:rsidRDefault="005B0537"/>
    <w:p w14:paraId="4C032147" w14:textId="49B55334" w:rsidR="005B0537" w:rsidRPr="005B0537" w:rsidRDefault="005B0537" w:rsidP="005B0537">
      <w:pPr>
        <w:jc w:val="center"/>
        <w:rPr>
          <w:b/>
          <w:bCs/>
        </w:rPr>
      </w:pPr>
    </w:p>
    <w:p w14:paraId="0E766B38" w14:textId="77777777" w:rsidR="008B5A35" w:rsidRDefault="005B0537" w:rsidP="005B0537">
      <w:pPr>
        <w:jc w:val="center"/>
        <w:rPr>
          <w:b/>
          <w:bCs/>
          <w:sz w:val="28"/>
          <w:szCs w:val="28"/>
        </w:rPr>
      </w:pPr>
      <w:r w:rsidRPr="00646E33">
        <w:rPr>
          <w:b/>
          <w:bCs/>
          <w:sz w:val="28"/>
          <w:szCs w:val="28"/>
        </w:rPr>
        <w:t>A</w:t>
      </w:r>
      <w:r w:rsidR="000A3B13" w:rsidRPr="00646E33">
        <w:rPr>
          <w:b/>
          <w:bCs/>
          <w:sz w:val="28"/>
          <w:szCs w:val="28"/>
        </w:rPr>
        <w:t xml:space="preserve">udizione Commissioni Bilancio Camera </w:t>
      </w:r>
      <w:r w:rsidR="008B5A35">
        <w:rPr>
          <w:b/>
          <w:bCs/>
          <w:sz w:val="28"/>
          <w:szCs w:val="28"/>
        </w:rPr>
        <w:t xml:space="preserve">dei deputati </w:t>
      </w:r>
      <w:r w:rsidR="000A3B13" w:rsidRPr="00646E33">
        <w:rPr>
          <w:b/>
          <w:bCs/>
          <w:sz w:val="28"/>
          <w:szCs w:val="28"/>
        </w:rPr>
        <w:t>e</w:t>
      </w:r>
    </w:p>
    <w:p w14:paraId="07C7D840" w14:textId="7D144A61" w:rsidR="000A3B13" w:rsidRPr="00646E33" w:rsidRDefault="000A3B13" w:rsidP="005B0537">
      <w:pPr>
        <w:jc w:val="center"/>
        <w:rPr>
          <w:b/>
          <w:bCs/>
          <w:sz w:val="28"/>
          <w:szCs w:val="28"/>
        </w:rPr>
      </w:pPr>
      <w:r w:rsidRPr="00646E33">
        <w:rPr>
          <w:b/>
          <w:bCs/>
          <w:sz w:val="28"/>
          <w:szCs w:val="28"/>
        </w:rPr>
        <w:t xml:space="preserve"> Senato</w:t>
      </w:r>
      <w:r w:rsidR="008B5A35">
        <w:rPr>
          <w:b/>
          <w:bCs/>
          <w:sz w:val="28"/>
          <w:szCs w:val="28"/>
        </w:rPr>
        <w:t xml:space="preserve"> della Repubblica</w:t>
      </w:r>
    </w:p>
    <w:p w14:paraId="05811E7D" w14:textId="04D40177" w:rsidR="000A3B13" w:rsidRPr="00646E33" w:rsidRDefault="000A3B13" w:rsidP="005B0537">
      <w:pPr>
        <w:jc w:val="center"/>
        <w:rPr>
          <w:b/>
          <w:bCs/>
          <w:sz w:val="28"/>
          <w:szCs w:val="28"/>
        </w:rPr>
      </w:pPr>
      <w:r w:rsidRPr="00646E33">
        <w:rPr>
          <w:b/>
          <w:bCs/>
          <w:sz w:val="28"/>
          <w:szCs w:val="28"/>
        </w:rPr>
        <w:t>Documento di Economia e Finanza 202</w:t>
      </w:r>
      <w:r w:rsidR="00845EAF">
        <w:rPr>
          <w:b/>
          <w:bCs/>
          <w:sz w:val="28"/>
          <w:szCs w:val="28"/>
        </w:rPr>
        <w:t>4</w:t>
      </w:r>
    </w:p>
    <w:p w14:paraId="753A3B7B" w14:textId="59445FA5" w:rsidR="005B0537" w:rsidRPr="00646E33" w:rsidRDefault="005B0537" w:rsidP="005B0537">
      <w:pPr>
        <w:jc w:val="center"/>
        <w:rPr>
          <w:b/>
          <w:bCs/>
          <w:sz w:val="28"/>
          <w:szCs w:val="28"/>
        </w:rPr>
      </w:pPr>
    </w:p>
    <w:p w14:paraId="2F16295D" w14:textId="003DA842" w:rsidR="000A3B13" w:rsidRPr="00646E33" w:rsidRDefault="000A3B13" w:rsidP="005B0537">
      <w:pPr>
        <w:jc w:val="center"/>
        <w:rPr>
          <w:b/>
          <w:bCs/>
          <w:sz w:val="28"/>
          <w:szCs w:val="28"/>
        </w:rPr>
      </w:pPr>
    </w:p>
    <w:p w14:paraId="586CACCA" w14:textId="5966EE40" w:rsidR="000A3B13" w:rsidRPr="00646E33" w:rsidRDefault="000A3B13" w:rsidP="005B0537">
      <w:pPr>
        <w:jc w:val="center"/>
        <w:rPr>
          <w:b/>
          <w:bCs/>
          <w:sz w:val="28"/>
          <w:szCs w:val="28"/>
        </w:rPr>
      </w:pPr>
      <w:r w:rsidRPr="00646E33">
        <w:rPr>
          <w:b/>
          <w:bCs/>
          <w:sz w:val="28"/>
          <w:szCs w:val="28"/>
        </w:rPr>
        <w:t>Nota UPI</w:t>
      </w:r>
    </w:p>
    <w:p w14:paraId="5CCEE9A3" w14:textId="08E5EAA2" w:rsidR="000A3B13" w:rsidRPr="00646E33" w:rsidRDefault="000A3B13" w:rsidP="005B0537">
      <w:pPr>
        <w:jc w:val="center"/>
        <w:rPr>
          <w:b/>
          <w:bCs/>
          <w:sz w:val="28"/>
          <w:szCs w:val="28"/>
        </w:rPr>
      </w:pPr>
    </w:p>
    <w:p w14:paraId="77670936" w14:textId="46D95DF1" w:rsidR="000A3B13" w:rsidRPr="00646E33" w:rsidRDefault="000A3B13" w:rsidP="005B0537">
      <w:pPr>
        <w:jc w:val="center"/>
        <w:rPr>
          <w:b/>
          <w:bCs/>
          <w:sz w:val="28"/>
          <w:szCs w:val="28"/>
        </w:rPr>
      </w:pPr>
    </w:p>
    <w:p w14:paraId="1BF5D42C" w14:textId="40D96BDC" w:rsidR="000A3B13" w:rsidRPr="00646E33" w:rsidRDefault="000A3B13" w:rsidP="005B0537">
      <w:pPr>
        <w:jc w:val="center"/>
        <w:rPr>
          <w:b/>
          <w:bCs/>
          <w:sz w:val="28"/>
          <w:szCs w:val="28"/>
        </w:rPr>
      </w:pPr>
    </w:p>
    <w:p w14:paraId="700BA286" w14:textId="0966D316" w:rsidR="000A3B13" w:rsidRPr="00646E33" w:rsidRDefault="000A3B13" w:rsidP="005B0537">
      <w:pPr>
        <w:jc w:val="center"/>
        <w:rPr>
          <w:b/>
          <w:bCs/>
          <w:sz w:val="28"/>
          <w:szCs w:val="28"/>
        </w:rPr>
      </w:pPr>
    </w:p>
    <w:p w14:paraId="48BCB5C1" w14:textId="0A9580E3" w:rsidR="000A3B13" w:rsidRPr="00646E33" w:rsidRDefault="000A3B13" w:rsidP="005B0537">
      <w:pPr>
        <w:jc w:val="center"/>
        <w:rPr>
          <w:b/>
          <w:bCs/>
          <w:sz w:val="28"/>
          <w:szCs w:val="28"/>
        </w:rPr>
      </w:pPr>
    </w:p>
    <w:p w14:paraId="247E3ACA" w14:textId="19A22550" w:rsidR="000A3B13" w:rsidRPr="00646E33" w:rsidRDefault="000A3B13" w:rsidP="005B0537">
      <w:pPr>
        <w:jc w:val="center"/>
        <w:rPr>
          <w:b/>
          <w:bCs/>
          <w:sz w:val="28"/>
          <w:szCs w:val="28"/>
        </w:rPr>
      </w:pPr>
    </w:p>
    <w:p w14:paraId="7C7E1DF0" w14:textId="0D4F8304" w:rsidR="000A3B13" w:rsidRPr="00646E33" w:rsidRDefault="000A3B13" w:rsidP="005B0537">
      <w:pPr>
        <w:jc w:val="center"/>
        <w:rPr>
          <w:b/>
          <w:bCs/>
          <w:sz w:val="28"/>
          <w:szCs w:val="28"/>
        </w:rPr>
      </w:pPr>
    </w:p>
    <w:p w14:paraId="3E61E9A0" w14:textId="4D4C694E" w:rsidR="000A3B13" w:rsidRPr="00646E33" w:rsidRDefault="000A3B13" w:rsidP="005B0537">
      <w:pPr>
        <w:jc w:val="center"/>
        <w:rPr>
          <w:b/>
          <w:bCs/>
          <w:sz w:val="28"/>
          <w:szCs w:val="28"/>
        </w:rPr>
      </w:pPr>
    </w:p>
    <w:p w14:paraId="0770A86F" w14:textId="07FA6EAA" w:rsidR="000A3B13" w:rsidRPr="00646E33" w:rsidRDefault="000A3B13" w:rsidP="005B0537">
      <w:pPr>
        <w:jc w:val="center"/>
        <w:rPr>
          <w:b/>
          <w:bCs/>
          <w:sz w:val="28"/>
          <w:szCs w:val="28"/>
        </w:rPr>
      </w:pPr>
    </w:p>
    <w:p w14:paraId="2BB03D17" w14:textId="5D36728E" w:rsidR="000A3B13" w:rsidRPr="00646E33" w:rsidRDefault="000A3B13" w:rsidP="005B0537">
      <w:pPr>
        <w:jc w:val="center"/>
        <w:rPr>
          <w:b/>
          <w:bCs/>
          <w:i/>
          <w:iCs/>
        </w:rPr>
      </w:pPr>
      <w:r w:rsidRPr="00646E33">
        <w:rPr>
          <w:b/>
          <w:bCs/>
          <w:i/>
          <w:iCs/>
        </w:rPr>
        <w:t xml:space="preserve">Roma, </w:t>
      </w:r>
      <w:r w:rsidR="00845EAF">
        <w:rPr>
          <w:b/>
          <w:bCs/>
          <w:i/>
          <w:iCs/>
        </w:rPr>
        <w:t>22</w:t>
      </w:r>
      <w:r w:rsidRPr="00646E33">
        <w:rPr>
          <w:b/>
          <w:bCs/>
          <w:i/>
          <w:iCs/>
        </w:rPr>
        <w:t xml:space="preserve"> aprile 202</w:t>
      </w:r>
      <w:r w:rsidR="00845EAF">
        <w:rPr>
          <w:b/>
          <w:bCs/>
          <w:i/>
          <w:iCs/>
        </w:rPr>
        <w:t>4</w:t>
      </w:r>
    </w:p>
    <w:p w14:paraId="4F9DD549" w14:textId="691756D0" w:rsidR="00646E33" w:rsidRPr="00BB0652" w:rsidRDefault="005B0537" w:rsidP="00BB0652">
      <w:pPr>
        <w:ind w:firstLine="708"/>
        <w:rPr>
          <w:b/>
          <w:bCs/>
          <w:sz w:val="24"/>
          <w:szCs w:val="24"/>
        </w:rPr>
      </w:pPr>
      <w:r>
        <w:br w:type="page"/>
      </w:r>
      <w:r w:rsidRPr="00BB0652">
        <w:rPr>
          <w:b/>
          <w:bCs/>
          <w:sz w:val="24"/>
          <w:szCs w:val="24"/>
        </w:rPr>
        <w:lastRenderedPageBreak/>
        <w:t>P</w:t>
      </w:r>
      <w:r w:rsidR="00BB0652">
        <w:rPr>
          <w:b/>
          <w:bCs/>
          <w:sz w:val="24"/>
          <w:szCs w:val="24"/>
        </w:rPr>
        <w:t xml:space="preserve">remessa. </w:t>
      </w:r>
      <w:r w:rsidR="00BB0652" w:rsidRPr="00BB0652">
        <w:rPr>
          <w:b/>
          <w:bCs/>
          <w:sz w:val="24"/>
          <w:szCs w:val="24"/>
        </w:rPr>
        <w:t xml:space="preserve">Il </w:t>
      </w:r>
      <w:r w:rsidR="00BB0652">
        <w:rPr>
          <w:b/>
          <w:bCs/>
          <w:sz w:val="24"/>
          <w:szCs w:val="24"/>
        </w:rPr>
        <w:t>q</w:t>
      </w:r>
      <w:r w:rsidR="00BB0652" w:rsidRPr="00BB0652">
        <w:rPr>
          <w:b/>
          <w:bCs/>
          <w:sz w:val="24"/>
          <w:szCs w:val="24"/>
        </w:rPr>
        <w:t xml:space="preserve">uadro </w:t>
      </w:r>
      <w:r w:rsidR="00BB0652">
        <w:rPr>
          <w:b/>
          <w:bCs/>
          <w:sz w:val="24"/>
          <w:szCs w:val="24"/>
        </w:rPr>
        <w:t>d</w:t>
      </w:r>
      <w:r w:rsidR="00BB0652" w:rsidRPr="00BB0652">
        <w:rPr>
          <w:b/>
          <w:bCs/>
          <w:sz w:val="24"/>
          <w:szCs w:val="24"/>
        </w:rPr>
        <w:t xml:space="preserve">i </w:t>
      </w:r>
      <w:r w:rsidR="00BB0652">
        <w:rPr>
          <w:b/>
          <w:bCs/>
          <w:sz w:val="24"/>
          <w:szCs w:val="24"/>
        </w:rPr>
        <w:t>c</w:t>
      </w:r>
      <w:r w:rsidR="00BB0652" w:rsidRPr="00BB0652">
        <w:rPr>
          <w:b/>
          <w:bCs/>
          <w:sz w:val="24"/>
          <w:szCs w:val="24"/>
        </w:rPr>
        <w:t>ontesto</w:t>
      </w:r>
    </w:p>
    <w:p w14:paraId="5FBCA944" w14:textId="77777777" w:rsidR="00AB3483" w:rsidRDefault="00AB3483" w:rsidP="00600D76">
      <w:pPr>
        <w:autoSpaceDE w:val="0"/>
        <w:autoSpaceDN w:val="0"/>
        <w:adjustRightInd w:val="0"/>
        <w:spacing w:before="0" w:after="0" w:line="240" w:lineRule="auto"/>
        <w:jc w:val="both"/>
        <w:rPr>
          <w:b/>
          <w:color w:val="000000" w:themeColor="text1"/>
          <w:sz w:val="24"/>
          <w:szCs w:val="24"/>
        </w:rPr>
      </w:pPr>
    </w:p>
    <w:p w14:paraId="2F6461D0" w14:textId="2EB7E443" w:rsidR="00444C47" w:rsidRDefault="000158B7" w:rsidP="00600D76">
      <w:pPr>
        <w:autoSpaceDE w:val="0"/>
        <w:autoSpaceDN w:val="0"/>
        <w:adjustRightInd w:val="0"/>
        <w:spacing w:before="0" w:after="0" w:line="240" w:lineRule="auto"/>
        <w:jc w:val="both"/>
        <w:rPr>
          <w:sz w:val="24"/>
          <w:szCs w:val="24"/>
        </w:rPr>
      </w:pPr>
      <w:r w:rsidRPr="002077DF">
        <w:rPr>
          <w:b/>
          <w:color w:val="000000" w:themeColor="text1"/>
          <w:sz w:val="24"/>
          <w:szCs w:val="24"/>
        </w:rPr>
        <w:t xml:space="preserve">Il Documento di economia e finanza (DEF) </w:t>
      </w:r>
      <w:r w:rsidR="00B33030" w:rsidRPr="002077DF">
        <w:rPr>
          <w:b/>
          <w:color w:val="000000" w:themeColor="text1"/>
          <w:sz w:val="24"/>
          <w:szCs w:val="24"/>
        </w:rPr>
        <w:t>2024 approvato</w:t>
      </w:r>
      <w:r w:rsidR="004D1F2A" w:rsidRPr="004D1F2A">
        <w:rPr>
          <w:sz w:val="24"/>
          <w:szCs w:val="24"/>
        </w:rPr>
        <w:t xml:space="preserve"> dal </w:t>
      </w:r>
      <w:r w:rsidR="00BE0B64" w:rsidRPr="004D1F2A">
        <w:rPr>
          <w:sz w:val="24"/>
          <w:szCs w:val="24"/>
        </w:rPr>
        <w:t xml:space="preserve">Consiglio dei </w:t>
      </w:r>
      <w:r w:rsidR="00BE0B64">
        <w:rPr>
          <w:sz w:val="24"/>
          <w:szCs w:val="24"/>
        </w:rPr>
        <w:t>ministri</w:t>
      </w:r>
      <w:r w:rsidR="006E14F6">
        <w:rPr>
          <w:sz w:val="24"/>
          <w:szCs w:val="24"/>
        </w:rPr>
        <w:t>,</w:t>
      </w:r>
      <w:r w:rsidR="004D1F2A" w:rsidRPr="004D1F2A">
        <w:rPr>
          <w:sz w:val="24"/>
          <w:szCs w:val="24"/>
        </w:rPr>
        <w:t xml:space="preserve"> </w:t>
      </w:r>
      <w:r w:rsidR="004D1F2A" w:rsidRPr="007730F0">
        <w:rPr>
          <w:sz w:val="24"/>
          <w:szCs w:val="24"/>
        </w:rPr>
        <w:t xml:space="preserve">fotografa </w:t>
      </w:r>
      <w:r w:rsidR="00BB0652">
        <w:rPr>
          <w:sz w:val="24"/>
          <w:szCs w:val="24"/>
        </w:rPr>
        <w:t>i</w:t>
      </w:r>
      <w:r w:rsidR="004D1F2A" w:rsidRPr="007730F0">
        <w:rPr>
          <w:sz w:val="24"/>
          <w:szCs w:val="24"/>
        </w:rPr>
        <w:t xml:space="preserve">l </w:t>
      </w:r>
      <w:r w:rsidR="004D1F2A" w:rsidRPr="004D1F2A">
        <w:rPr>
          <w:sz w:val="24"/>
          <w:szCs w:val="24"/>
        </w:rPr>
        <w:t>quadro tendenziale</w:t>
      </w:r>
      <w:r w:rsidR="007730F0">
        <w:rPr>
          <w:sz w:val="24"/>
          <w:szCs w:val="24"/>
        </w:rPr>
        <w:t xml:space="preserve"> della finanza del Paese, </w:t>
      </w:r>
      <w:r w:rsidR="00600D76">
        <w:rPr>
          <w:sz w:val="24"/>
          <w:szCs w:val="24"/>
        </w:rPr>
        <w:t xml:space="preserve">attestando </w:t>
      </w:r>
      <w:r w:rsidR="007730F0">
        <w:rPr>
          <w:sz w:val="24"/>
          <w:szCs w:val="24"/>
        </w:rPr>
        <w:t>per il 2024</w:t>
      </w:r>
      <w:r w:rsidR="00600D76">
        <w:rPr>
          <w:sz w:val="24"/>
          <w:szCs w:val="24"/>
        </w:rPr>
        <w:t xml:space="preserve"> un tasso di crescita del </w:t>
      </w:r>
      <w:r w:rsidR="00600D76" w:rsidRPr="00600D76">
        <w:rPr>
          <w:sz w:val="24"/>
          <w:szCs w:val="24"/>
        </w:rPr>
        <w:t>PIL</w:t>
      </w:r>
      <w:r w:rsidR="00600D76">
        <w:rPr>
          <w:sz w:val="24"/>
          <w:szCs w:val="24"/>
        </w:rPr>
        <w:t xml:space="preserve"> </w:t>
      </w:r>
      <w:r w:rsidR="00600D76" w:rsidRPr="00600D76">
        <w:rPr>
          <w:sz w:val="24"/>
          <w:szCs w:val="24"/>
        </w:rPr>
        <w:t>all’1</w:t>
      </w:r>
      <w:r w:rsidR="00B33030">
        <w:rPr>
          <w:sz w:val="24"/>
          <w:szCs w:val="24"/>
        </w:rPr>
        <w:t>%</w:t>
      </w:r>
      <w:r w:rsidR="00600D76" w:rsidRPr="00600D76">
        <w:rPr>
          <w:sz w:val="24"/>
          <w:szCs w:val="24"/>
        </w:rPr>
        <w:t xml:space="preserve"> </w:t>
      </w:r>
      <w:r w:rsidR="00600D76">
        <w:rPr>
          <w:sz w:val="24"/>
          <w:szCs w:val="24"/>
        </w:rPr>
        <w:t>(con previsione del</w:t>
      </w:r>
      <w:r w:rsidR="00600D76" w:rsidRPr="00600D76">
        <w:rPr>
          <w:sz w:val="24"/>
          <w:szCs w:val="24"/>
        </w:rPr>
        <w:t>l’1,2</w:t>
      </w:r>
      <w:r w:rsidR="00B33030">
        <w:rPr>
          <w:sz w:val="24"/>
          <w:szCs w:val="24"/>
        </w:rPr>
        <w:t xml:space="preserve">% </w:t>
      </w:r>
      <w:r w:rsidR="00600D76" w:rsidRPr="00600D76">
        <w:rPr>
          <w:sz w:val="24"/>
          <w:szCs w:val="24"/>
        </w:rPr>
        <w:t>nel 2025</w:t>
      </w:r>
      <w:r w:rsidR="00600D76">
        <w:rPr>
          <w:sz w:val="24"/>
          <w:szCs w:val="24"/>
        </w:rPr>
        <w:t>, del</w:t>
      </w:r>
      <w:r w:rsidR="00600D76" w:rsidRPr="00600D76">
        <w:rPr>
          <w:sz w:val="24"/>
          <w:szCs w:val="24"/>
        </w:rPr>
        <w:t>l’1,1</w:t>
      </w:r>
      <w:r w:rsidR="00B33030">
        <w:rPr>
          <w:sz w:val="24"/>
          <w:szCs w:val="24"/>
        </w:rPr>
        <w:t>%</w:t>
      </w:r>
      <w:r w:rsidR="00600D76">
        <w:rPr>
          <w:sz w:val="24"/>
          <w:szCs w:val="24"/>
        </w:rPr>
        <w:t xml:space="preserve"> nel 2026</w:t>
      </w:r>
      <w:r w:rsidR="008B5A35">
        <w:rPr>
          <w:sz w:val="24"/>
          <w:szCs w:val="24"/>
        </w:rPr>
        <w:t>,</w:t>
      </w:r>
      <w:r w:rsidR="00600D76">
        <w:rPr>
          <w:sz w:val="24"/>
          <w:szCs w:val="24"/>
        </w:rPr>
        <w:t xml:space="preserve"> dello </w:t>
      </w:r>
      <w:r w:rsidR="00600D76" w:rsidRPr="00600D76">
        <w:rPr>
          <w:sz w:val="24"/>
          <w:szCs w:val="24"/>
        </w:rPr>
        <w:t xml:space="preserve">0,9 </w:t>
      </w:r>
      <w:r w:rsidR="00600D76">
        <w:rPr>
          <w:sz w:val="24"/>
          <w:szCs w:val="24"/>
        </w:rPr>
        <w:t xml:space="preserve">% nel 2027). </w:t>
      </w:r>
    </w:p>
    <w:p w14:paraId="312E9325" w14:textId="77777777" w:rsidR="00444C47" w:rsidRDefault="00444C47" w:rsidP="00600D76">
      <w:pPr>
        <w:autoSpaceDE w:val="0"/>
        <w:autoSpaceDN w:val="0"/>
        <w:adjustRightInd w:val="0"/>
        <w:spacing w:before="0" w:after="0" w:line="240" w:lineRule="auto"/>
        <w:jc w:val="both"/>
        <w:rPr>
          <w:sz w:val="24"/>
          <w:szCs w:val="24"/>
        </w:rPr>
      </w:pPr>
    </w:p>
    <w:p w14:paraId="05F91457" w14:textId="0AAB92C9" w:rsidR="00821A5D" w:rsidRDefault="00600D76" w:rsidP="00600D76">
      <w:pPr>
        <w:autoSpaceDE w:val="0"/>
        <w:autoSpaceDN w:val="0"/>
        <w:adjustRightInd w:val="0"/>
        <w:spacing w:before="0" w:after="0" w:line="240" w:lineRule="auto"/>
        <w:jc w:val="both"/>
        <w:rPr>
          <w:sz w:val="24"/>
          <w:szCs w:val="24"/>
        </w:rPr>
      </w:pPr>
      <w:r>
        <w:rPr>
          <w:sz w:val="24"/>
          <w:szCs w:val="24"/>
        </w:rPr>
        <w:t xml:space="preserve">Il </w:t>
      </w:r>
      <w:r w:rsidR="004D1F2A" w:rsidRPr="007730F0">
        <w:rPr>
          <w:sz w:val="24"/>
          <w:szCs w:val="24"/>
        </w:rPr>
        <w:t xml:space="preserve">disavanzo </w:t>
      </w:r>
      <w:r>
        <w:rPr>
          <w:sz w:val="24"/>
          <w:szCs w:val="24"/>
        </w:rPr>
        <w:t xml:space="preserve">si conferma </w:t>
      </w:r>
      <w:r w:rsidR="007730F0">
        <w:rPr>
          <w:sz w:val="24"/>
          <w:szCs w:val="24"/>
        </w:rPr>
        <w:t>a</w:t>
      </w:r>
      <w:r w:rsidR="004D1F2A" w:rsidRPr="007730F0">
        <w:rPr>
          <w:sz w:val="24"/>
          <w:szCs w:val="24"/>
        </w:rPr>
        <w:t>l 4,3</w:t>
      </w:r>
      <w:r w:rsidR="00B33030">
        <w:rPr>
          <w:sz w:val="24"/>
          <w:szCs w:val="24"/>
        </w:rPr>
        <w:t>%</w:t>
      </w:r>
      <w:r w:rsidR="004D1F2A" w:rsidRPr="007730F0">
        <w:rPr>
          <w:sz w:val="24"/>
          <w:szCs w:val="24"/>
        </w:rPr>
        <w:t xml:space="preserve"> del Pil</w:t>
      </w:r>
      <w:r w:rsidR="007730F0">
        <w:rPr>
          <w:sz w:val="24"/>
          <w:szCs w:val="24"/>
        </w:rPr>
        <w:t xml:space="preserve"> con una progressiva riduzione fino </w:t>
      </w:r>
      <w:r w:rsidR="004D1F2A" w:rsidRPr="007730F0">
        <w:rPr>
          <w:sz w:val="24"/>
          <w:szCs w:val="24"/>
        </w:rPr>
        <w:t xml:space="preserve">al 2,2 </w:t>
      </w:r>
      <w:r w:rsidR="00B33030">
        <w:rPr>
          <w:sz w:val="24"/>
          <w:szCs w:val="24"/>
        </w:rPr>
        <w:t>%</w:t>
      </w:r>
      <w:r w:rsidR="004D1F2A" w:rsidRPr="007730F0">
        <w:rPr>
          <w:sz w:val="24"/>
          <w:szCs w:val="24"/>
        </w:rPr>
        <w:t xml:space="preserve"> nel 2027</w:t>
      </w:r>
      <w:r>
        <w:rPr>
          <w:sz w:val="24"/>
          <w:szCs w:val="24"/>
        </w:rPr>
        <w:t xml:space="preserve">, mentre cresce </w:t>
      </w:r>
      <w:r w:rsidR="007730F0">
        <w:rPr>
          <w:sz w:val="24"/>
          <w:szCs w:val="24"/>
        </w:rPr>
        <w:t xml:space="preserve">il </w:t>
      </w:r>
      <w:r w:rsidR="007730F0" w:rsidRPr="007730F0">
        <w:rPr>
          <w:sz w:val="24"/>
          <w:szCs w:val="24"/>
        </w:rPr>
        <w:t>debito</w:t>
      </w:r>
      <w:r w:rsidR="007730F0">
        <w:rPr>
          <w:sz w:val="24"/>
          <w:szCs w:val="24"/>
        </w:rPr>
        <w:t>, di cui è previsto l’aumento di</w:t>
      </w:r>
      <w:r w:rsidR="004D1F2A" w:rsidRPr="007730F0">
        <w:rPr>
          <w:sz w:val="24"/>
          <w:szCs w:val="24"/>
        </w:rPr>
        <w:t xml:space="preserve"> 2,5 punti</w:t>
      </w:r>
      <w:r w:rsidR="007730F0">
        <w:rPr>
          <w:sz w:val="24"/>
          <w:szCs w:val="24"/>
        </w:rPr>
        <w:t xml:space="preserve"> </w:t>
      </w:r>
      <w:r>
        <w:rPr>
          <w:sz w:val="24"/>
          <w:szCs w:val="24"/>
        </w:rPr>
        <w:t>sul</w:t>
      </w:r>
      <w:r w:rsidR="007730F0">
        <w:rPr>
          <w:sz w:val="24"/>
          <w:szCs w:val="24"/>
        </w:rPr>
        <w:t xml:space="preserve"> PIL.</w:t>
      </w:r>
      <w:r w:rsidR="004D1F2A" w:rsidRPr="007730F0">
        <w:rPr>
          <w:sz w:val="24"/>
          <w:szCs w:val="24"/>
        </w:rPr>
        <w:t xml:space="preserve"> </w:t>
      </w:r>
    </w:p>
    <w:p w14:paraId="4C1024A8" w14:textId="77777777" w:rsidR="00600D76" w:rsidRDefault="00600D76" w:rsidP="007730F0">
      <w:pPr>
        <w:autoSpaceDE w:val="0"/>
        <w:autoSpaceDN w:val="0"/>
        <w:adjustRightInd w:val="0"/>
        <w:spacing w:before="0" w:after="0" w:line="240" w:lineRule="auto"/>
        <w:jc w:val="both"/>
        <w:rPr>
          <w:sz w:val="24"/>
          <w:szCs w:val="24"/>
        </w:rPr>
      </w:pPr>
    </w:p>
    <w:p w14:paraId="447BED69" w14:textId="60E499C3" w:rsidR="007730F0" w:rsidRDefault="00600D76" w:rsidP="007730F0">
      <w:pPr>
        <w:autoSpaceDE w:val="0"/>
        <w:autoSpaceDN w:val="0"/>
        <w:adjustRightInd w:val="0"/>
        <w:spacing w:before="0" w:after="0" w:line="240" w:lineRule="auto"/>
        <w:jc w:val="both"/>
        <w:rPr>
          <w:sz w:val="24"/>
          <w:szCs w:val="24"/>
        </w:rPr>
      </w:pPr>
      <w:r>
        <w:rPr>
          <w:sz w:val="24"/>
          <w:szCs w:val="24"/>
        </w:rPr>
        <w:t>Assente</w:t>
      </w:r>
      <w:r w:rsidR="00BE0B64">
        <w:rPr>
          <w:sz w:val="24"/>
          <w:szCs w:val="24"/>
        </w:rPr>
        <w:t xml:space="preserve"> nel Documento</w:t>
      </w:r>
      <w:r>
        <w:rPr>
          <w:sz w:val="24"/>
          <w:szCs w:val="24"/>
        </w:rPr>
        <w:t xml:space="preserve"> i</w:t>
      </w:r>
      <w:r w:rsidR="007730F0">
        <w:rPr>
          <w:sz w:val="24"/>
          <w:szCs w:val="24"/>
        </w:rPr>
        <w:t>l quadro programmatico</w:t>
      </w:r>
      <w:r w:rsidR="00BE0B64">
        <w:rPr>
          <w:sz w:val="24"/>
          <w:szCs w:val="24"/>
        </w:rPr>
        <w:t xml:space="preserve"> - </w:t>
      </w:r>
      <w:r w:rsidR="00444C47">
        <w:rPr>
          <w:sz w:val="24"/>
          <w:szCs w:val="24"/>
        </w:rPr>
        <w:t xml:space="preserve">sulla base </w:t>
      </w:r>
      <w:r w:rsidR="00BE0B64">
        <w:rPr>
          <w:sz w:val="24"/>
          <w:szCs w:val="24"/>
        </w:rPr>
        <w:t xml:space="preserve">del quale </w:t>
      </w:r>
      <w:r w:rsidR="00444C47">
        <w:rPr>
          <w:sz w:val="24"/>
          <w:szCs w:val="24"/>
        </w:rPr>
        <w:t>si dovranno collocare le misure specifiche della prossima Legge di bilancio</w:t>
      </w:r>
      <w:r w:rsidR="00BE0B64">
        <w:rPr>
          <w:sz w:val="24"/>
          <w:szCs w:val="24"/>
        </w:rPr>
        <w:t xml:space="preserve"> </w:t>
      </w:r>
      <w:r w:rsidR="004E237A">
        <w:rPr>
          <w:sz w:val="24"/>
          <w:szCs w:val="24"/>
        </w:rPr>
        <w:t>- che</w:t>
      </w:r>
      <w:r w:rsidR="00444C47">
        <w:rPr>
          <w:sz w:val="24"/>
          <w:szCs w:val="24"/>
        </w:rPr>
        <w:t xml:space="preserve"> sarà legato al futuro</w:t>
      </w:r>
      <w:r w:rsidR="007730F0" w:rsidRPr="007730F0">
        <w:rPr>
          <w:sz w:val="24"/>
          <w:szCs w:val="24"/>
        </w:rPr>
        <w:t xml:space="preserve"> Piano </w:t>
      </w:r>
      <w:r w:rsidR="00444C47">
        <w:rPr>
          <w:sz w:val="24"/>
          <w:szCs w:val="24"/>
        </w:rPr>
        <w:t xml:space="preserve">fiscale </w:t>
      </w:r>
      <w:r w:rsidR="007730F0" w:rsidRPr="007730F0">
        <w:rPr>
          <w:sz w:val="24"/>
          <w:szCs w:val="24"/>
        </w:rPr>
        <w:t xml:space="preserve">strutturale </w:t>
      </w:r>
      <w:r w:rsidR="00444C47">
        <w:rPr>
          <w:sz w:val="24"/>
          <w:szCs w:val="24"/>
        </w:rPr>
        <w:t xml:space="preserve">di medio </w:t>
      </w:r>
      <w:r w:rsidR="007730F0" w:rsidRPr="007730F0">
        <w:rPr>
          <w:sz w:val="24"/>
          <w:szCs w:val="24"/>
        </w:rPr>
        <w:t>termine</w:t>
      </w:r>
      <w:r w:rsidR="00444C47">
        <w:rPr>
          <w:sz w:val="24"/>
          <w:szCs w:val="24"/>
        </w:rPr>
        <w:t xml:space="preserve"> (4/7 anni) che</w:t>
      </w:r>
      <w:r w:rsidR="007730F0">
        <w:rPr>
          <w:sz w:val="24"/>
          <w:szCs w:val="24"/>
        </w:rPr>
        <w:t xml:space="preserve"> dovrà essere varato in autunno a seguito dell</w:t>
      </w:r>
      <w:r>
        <w:rPr>
          <w:sz w:val="24"/>
          <w:szCs w:val="24"/>
        </w:rPr>
        <w:t xml:space="preserve">e nuove </w:t>
      </w:r>
      <w:r w:rsidR="007730F0">
        <w:rPr>
          <w:sz w:val="24"/>
          <w:szCs w:val="24"/>
        </w:rPr>
        <w:t xml:space="preserve">regole del patto di stabilità europeo. </w:t>
      </w:r>
    </w:p>
    <w:p w14:paraId="45CBBA64" w14:textId="77777777" w:rsidR="00B33030" w:rsidRDefault="00B33030" w:rsidP="007730F0">
      <w:pPr>
        <w:autoSpaceDE w:val="0"/>
        <w:autoSpaceDN w:val="0"/>
        <w:adjustRightInd w:val="0"/>
        <w:spacing w:before="0" w:after="0" w:line="240" w:lineRule="auto"/>
        <w:jc w:val="both"/>
        <w:rPr>
          <w:sz w:val="24"/>
          <w:szCs w:val="24"/>
        </w:rPr>
      </w:pPr>
    </w:p>
    <w:p w14:paraId="1191476B" w14:textId="43527D14" w:rsidR="00B33030" w:rsidRDefault="00B33030" w:rsidP="00B33030">
      <w:pPr>
        <w:autoSpaceDE w:val="0"/>
        <w:autoSpaceDN w:val="0"/>
        <w:adjustRightInd w:val="0"/>
        <w:spacing w:before="0" w:after="0" w:line="240" w:lineRule="auto"/>
        <w:jc w:val="both"/>
        <w:rPr>
          <w:sz w:val="24"/>
          <w:szCs w:val="24"/>
        </w:rPr>
      </w:pPr>
      <w:r>
        <w:rPr>
          <w:sz w:val="24"/>
          <w:szCs w:val="24"/>
        </w:rPr>
        <w:t>In questa prospettiva si evidenzia la necessità di valorizzare in modo più compiuto il ruolo degli Enti locali – Province, Comuni e</w:t>
      </w:r>
      <w:r w:rsidRPr="00B33030">
        <w:rPr>
          <w:sz w:val="24"/>
          <w:szCs w:val="24"/>
        </w:rPr>
        <w:t xml:space="preserve"> Città Metropolitane</w:t>
      </w:r>
      <w:r>
        <w:rPr>
          <w:sz w:val="24"/>
          <w:szCs w:val="24"/>
        </w:rPr>
        <w:t xml:space="preserve"> – </w:t>
      </w:r>
      <w:r w:rsidRPr="00B33030">
        <w:rPr>
          <w:sz w:val="24"/>
          <w:szCs w:val="24"/>
        </w:rPr>
        <w:t>nell</w:t>
      </w:r>
      <w:r>
        <w:rPr>
          <w:sz w:val="24"/>
          <w:szCs w:val="24"/>
        </w:rPr>
        <w:t xml:space="preserve">e strategie di crescita del Paese poiché il protagonismo di questi enti negli </w:t>
      </w:r>
      <w:r w:rsidRPr="00B33030">
        <w:rPr>
          <w:sz w:val="24"/>
          <w:szCs w:val="24"/>
        </w:rPr>
        <w:t xml:space="preserve">investimenti pubblici </w:t>
      </w:r>
      <w:r>
        <w:rPr>
          <w:sz w:val="24"/>
          <w:szCs w:val="24"/>
        </w:rPr>
        <w:t>è determinante nella costruzione di uno sviluppo equo e sostenibile.</w:t>
      </w:r>
    </w:p>
    <w:p w14:paraId="1185C5A4" w14:textId="77777777" w:rsidR="007730F0" w:rsidRDefault="007730F0" w:rsidP="007730F0">
      <w:pPr>
        <w:autoSpaceDE w:val="0"/>
        <w:autoSpaceDN w:val="0"/>
        <w:adjustRightInd w:val="0"/>
        <w:spacing w:before="0" w:after="0" w:line="240" w:lineRule="auto"/>
        <w:jc w:val="both"/>
        <w:rPr>
          <w:rFonts w:ascii="Trebuchet MS" w:hAnsi="Trebuchet MS" w:cs="Trebuchet MS"/>
          <w:sz w:val="22"/>
          <w:szCs w:val="22"/>
        </w:rPr>
      </w:pPr>
    </w:p>
    <w:p w14:paraId="730C73D4" w14:textId="77777777" w:rsidR="008B5A35" w:rsidRPr="005F6583" w:rsidRDefault="008B5A35" w:rsidP="007730F0">
      <w:pPr>
        <w:autoSpaceDE w:val="0"/>
        <w:autoSpaceDN w:val="0"/>
        <w:adjustRightInd w:val="0"/>
        <w:spacing w:before="0" w:after="0" w:line="240" w:lineRule="auto"/>
        <w:jc w:val="both"/>
        <w:rPr>
          <w:rFonts w:ascii="Trebuchet MS" w:hAnsi="Trebuchet MS" w:cs="Trebuchet MS"/>
          <w:sz w:val="22"/>
          <w:szCs w:val="22"/>
        </w:rPr>
      </w:pPr>
    </w:p>
    <w:p w14:paraId="5C0A6D3A" w14:textId="77777777" w:rsidR="00845EAF" w:rsidRDefault="00845EAF" w:rsidP="00821A5D">
      <w:pPr>
        <w:spacing w:before="0" w:after="0" w:line="240" w:lineRule="auto"/>
        <w:jc w:val="both"/>
        <w:rPr>
          <w:sz w:val="24"/>
          <w:szCs w:val="24"/>
        </w:rPr>
      </w:pPr>
    </w:p>
    <w:p w14:paraId="1E2EB7FF" w14:textId="5EBBF500" w:rsidR="008C55BC" w:rsidRDefault="00845EAF" w:rsidP="00845EAF">
      <w:pPr>
        <w:pStyle w:val="Paragrafoelenco"/>
        <w:numPr>
          <w:ilvl w:val="0"/>
          <w:numId w:val="10"/>
        </w:numPr>
        <w:spacing w:before="0" w:after="0" w:line="240" w:lineRule="auto"/>
        <w:jc w:val="both"/>
        <w:rPr>
          <w:b/>
          <w:bCs/>
          <w:sz w:val="24"/>
          <w:szCs w:val="24"/>
        </w:rPr>
      </w:pPr>
      <w:r w:rsidRPr="00845EAF">
        <w:rPr>
          <w:b/>
          <w:bCs/>
          <w:sz w:val="24"/>
          <w:szCs w:val="24"/>
        </w:rPr>
        <w:t>Il nuovo patto di stabilità</w:t>
      </w:r>
      <w:r w:rsidR="00444C47">
        <w:rPr>
          <w:b/>
          <w:bCs/>
          <w:sz w:val="24"/>
          <w:szCs w:val="24"/>
        </w:rPr>
        <w:t xml:space="preserve"> e crescita</w:t>
      </w:r>
      <w:r w:rsidRPr="00845EAF">
        <w:rPr>
          <w:b/>
          <w:bCs/>
          <w:sz w:val="24"/>
          <w:szCs w:val="24"/>
        </w:rPr>
        <w:t xml:space="preserve"> europeo e le </w:t>
      </w:r>
      <w:r w:rsidR="00444C47">
        <w:rPr>
          <w:b/>
          <w:bCs/>
          <w:sz w:val="24"/>
          <w:szCs w:val="24"/>
        </w:rPr>
        <w:t>implicazioni sull</w:t>
      </w:r>
      <w:r w:rsidR="008C55BC">
        <w:rPr>
          <w:b/>
          <w:bCs/>
          <w:sz w:val="24"/>
          <w:szCs w:val="24"/>
        </w:rPr>
        <w:t>a finanza de</w:t>
      </w:r>
      <w:r w:rsidR="00BB0652">
        <w:rPr>
          <w:b/>
          <w:bCs/>
          <w:sz w:val="24"/>
          <w:szCs w:val="24"/>
        </w:rPr>
        <w:t>gli enti locali</w:t>
      </w:r>
    </w:p>
    <w:p w14:paraId="11CC829B" w14:textId="77777777" w:rsidR="00713770" w:rsidRDefault="00713770" w:rsidP="00821A5D">
      <w:pPr>
        <w:spacing w:before="0" w:after="0" w:line="240" w:lineRule="auto"/>
        <w:jc w:val="both"/>
        <w:rPr>
          <w:sz w:val="24"/>
          <w:szCs w:val="24"/>
        </w:rPr>
      </w:pPr>
    </w:p>
    <w:p w14:paraId="22B59C3D" w14:textId="77777777" w:rsidR="00396A4D" w:rsidRPr="00396A4D" w:rsidRDefault="00396A4D" w:rsidP="00396A4D">
      <w:pPr>
        <w:spacing w:before="0" w:after="0" w:line="240" w:lineRule="auto"/>
        <w:jc w:val="both"/>
        <w:rPr>
          <w:sz w:val="24"/>
          <w:szCs w:val="24"/>
        </w:rPr>
      </w:pPr>
      <w:r w:rsidRPr="00396A4D">
        <w:rPr>
          <w:sz w:val="24"/>
          <w:szCs w:val="24"/>
        </w:rPr>
        <w:t xml:space="preserve">Le nuove regole europee di politica di bilancio si basano sulla sostenibilità del debito pubblico, con orizzonte pluriennale, ottenuta valutando il rapporto tra debito e prodotto interno lordo in base a stime di crescita e altri parametri macro. </w:t>
      </w:r>
    </w:p>
    <w:p w14:paraId="48CFC3C7" w14:textId="77777777" w:rsidR="00BB0652" w:rsidRDefault="00BB0652" w:rsidP="00396A4D">
      <w:pPr>
        <w:spacing w:before="0" w:after="0" w:line="240" w:lineRule="auto"/>
        <w:jc w:val="both"/>
        <w:rPr>
          <w:sz w:val="24"/>
          <w:szCs w:val="24"/>
        </w:rPr>
      </w:pPr>
    </w:p>
    <w:p w14:paraId="2C379937" w14:textId="6BB2E388" w:rsidR="00396A4D" w:rsidRPr="00396A4D" w:rsidRDefault="00396A4D" w:rsidP="00396A4D">
      <w:pPr>
        <w:spacing w:before="0" w:after="0" w:line="240" w:lineRule="auto"/>
        <w:jc w:val="both"/>
        <w:rPr>
          <w:sz w:val="24"/>
          <w:szCs w:val="24"/>
        </w:rPr>
      </w:pPr>
      <w:r w:rsidRPr="00396A4D">
        <w:rPr>
          <w:sz w:val="24"/>
          <w:szCs w:val="24"/>
        </w:rPr>
        <w:t xml:space="preserve">Sulla base di quanto sopra si determina un “saldo primario strutturale” come obiettivo di medio termine che è conseguito tramite una regola di “spesa netta”, cioè monitorando il tasso di crescita annuale di spesa. </w:t>
      </w:r>
    </w:p>
    <w:p w14:paraId="5BE0ADA0" w14:textId="77777777" w:rsidR="00BB0652" w:rsidRDefault="00BB0652" w:rsidP="00396A4D">
      <w:pPr>
        <w:spacing w:before="0" w:after="0" w:line="240" w:lineRule="auto"/>
        <w:jc w:val="both"/>
        <w:rPr>
          <w:sz w:val="24"/>
          <w:szCs w:val="24"/>
        </w:rPr>
      </w:pPr>
    </w:p>
    <w:p w14:paraId="18D301C0" w14:textId="77777777" w:rsidR="00BB0652" w:rsidRDefault="00396A4D" w:rsidP="00396A4D">
      <w:pPr>
        <w:spacing w:before="0" w:after="0" w:line="240" w:lineRule="auto"/>
        <w:jc w:val="both"/>
        <w:rPr>
          <w:sz w:val="24"/>
          <w:szCs w:val="24"/>
        </w:rPr>
      </w:pPr>
      <w:r w:rsidRPr="00396A4D">
        <w:rPr>
          <w:sz w:val="24"/>
          <w:szCs w:val="24"/>
        </w:rPr>
        <w:t>L’orizzonte temporale è di quattro o sette anni. La spesa netta tiene conto, in detrazione, della spesa per interessi, delle spese finanziate dall</w:t>
      </w:r>
      <w:r>
        <w:rPr>
          <w:sz w:val="24"/>
          <w:szCs w:val="24"/>
        </w:rPr>
        <w:t>’</w:t>
      </w:r>
      <w:r w:rsidRPr="00396A4D">
        <w:rPr>
          <w:sz w:val="24"/>
          <w:szCs w:val="24"/>
        </w:rPr>
        <w:t xml:space="preserve"> Unione Europea, delle misure di politica fiscale sul lato delle entrate e di altri fabbisogni finanziari</w:t>
      </w:r>
      <w:r>
        <w:rPr>
          <w:sz w:val="24"/>
          <w:szCs w:val="24"/>
        </w:rPr>
        <w:t xml:space="preserve"> minori</w:t>
      </w:r>
      <w:r w:rsidRPr="00396A4D">
        <w:rPr>
          <w:sz w:val="24"/>
          <w:szCs w:val="24"/>
        </w:rPr>
        <w:t>.</w:t>
      </w:r>
    </w:p>
    <w:p w14:paraId="7869FFD0" w14:textId="77777777" w:rsidR="00BB0652" w:rsidRDefault="00BB0652" w:rsidP="00396A4D">
      <w:pPr>
        <w:spacing w:before="0" w:after="0" w:line="240" w:lineRule="auto"/>
        <w:jc w:val="both"/>
        <w:rPr>
          <w:sz w:val="24"/>
          <w:szCs w:val="24"/>
        </w:rPr>
      </w:pPr>
    </w:p>
    <w:p w14:paraId="7E6E5F5D" w14:textId="248E0BDE" w:rsidR="00396A4D" w:rsidRDefault="00BB0652" w:rsidP="00396A4D">
      <w:pPr>
        <w:spacing w:before="0" w:after="0" w:line="240" w:lineRule="auto"/>
        <w:jc w:val="both"/>
        <w:rPr>
          <w:sz w:val="24"/>
          <w:szCs w:val="24"/>
        </w:rPr>
      </w:pPr>
      <w:r>
        <w:rPr>
          <w:sz w:val="24"/>
          <w:szCs w:val="24"/>
        </w:rPr>
        <w:t xml:space="preserve">Il percorso verso l’obiettivo di medio termine prevede facilitazioni per gli </w:t>
      </w:r>
      <w:r w:rsidR="00396A4D" w:rsidRPr="00396A4D">
        <w:rPr>
          <w:sz w:val="24"/>
          <w:szCs w:val="24"/>
        </w:rPr>
        <w:t>investimenti</w:t>
      </w:r>
      <w:r>
        <w:rPr>
          <w:sz w:val="24"/>
          <w:szCs w:val="24"/>
        </w:rPr>
        <w:t xml:space="preserve"> </w:t>
      </w:r>
      <w:r w:rsidR="00396A4D" w:rsidRPr="00396A4D">
        <w:rPr>
          <w:sz w:val="24"/>
          <w:szCs w:val="24"/>
        </w:rPr>
        <w:t xml:space="preserve">finanziati </w:t>
      </w:r>
      <w:r>
        <w:rPr>
          <w:sz w:val="24"/>
          <w:szCs w:val="24"/>
        </w:rPr>
        <w:t>e legati all’attuazione del PNRR</w:t>
      </w:r>
      <w:r w:rsidR="00396A4D" w:rsidRPr="00396A4D">
        <w:rPr>
          <w:sz w:val="24"/>
          <w:szCs w:val="24"/>
        </w:rPr>
        <w:t xml:space="preserve">. </w:t>
      </w:r>
    </w:p>
    <w:p w14:paraId="5778FA6A" w14:textId="77777777" w:rsidR="00BB0652" w:rsidRPr="00396A4D" w:rsidRDefault="00BB0652" w:rsidP="00396A4D">
      <w:pPr>
        <w:spacing w:before="0" w:after="0" w:line="240" w:lineRule="auto"/>
        <w:jc w:val="both"/>
        <w:rPr>
          <w:sz w:val="24"/>
          <w:szCs w:val="24"/>
        </w:rPr>
      </w:pPr>
    </w:p>
    <w:p w14:paraId="6B4D6041" w14:textId="77777777" w:rsidR="00396A4D" w:rsidRPr="008C55BC" w:rsidRDefault="00396A4D" w:rsidP="00396A4D">
      <w:pPr>
        <w:spacing w:before="0" w:after="0" w:line="240" w:lineRule="auto"/>
        <w:jc w:val="both"/>
        <w:rPr>
          <w:b/>
          <w:sz w:val="24"/>
          <w:szCs w:val="24"/>
        </w:rPr>
      </w:pPr>
      <w:r w:rsidRPr="00396A4D">
        <w:rPr>
          <w:sz w:val="24"/>
          <w:szCs w:val="24"/>
        </w:rPr>
        <w:t xml:space="preserve">Soprattutto risulta rilevante la richiesta di una </w:t>
      </w:r>
      <w:r w:rsidRPr="008C55BC">
        <w:rPr>
          <w:b/>
          <w:sz w:val="24"/>
          <w:szCs w:val="24"/>
        </w:rPr>
        <w:t xml:space="preserve">visione integrata “programmazione di bilancio, investimenti pubblici e riforme”. </w:t>
      </w:r>
    </w:p>
    <w:p w14:paraId="7846A66F" w14:textId="77777777" w:rsidR="00BB0652" w:rsidRDefault="00BB0652" w:rsidP="00396A4D">
      <w:pPr>
        <w:spacing w:before="0" w:after="0" w:line="240" w:lineRule="auto"/>
        <w:jc w:val="both"/>
        <w:rPr>
          <w:sz w:val="24"/>
          <w:szCs w:val="24"/>
        </w:rPr>
      </w:pPr>
    </w:p>
    <w:p w14:paraId="127285FE" w14:textId="25B20406" w:rsidR="00396A4D" w:rsidRDefault="00396A4D" w:rsidP="00396A4D">
      <w:pPr>
        <w:spacing w:before="0" w:after="0" w:line="240" w:lineRule="auto"/>
        <w:jc w:val="both"/>
        <w:rPr>
          <w:sz w:val="24"/>
          <w:szCs w:val="24"/>
        </w:rPr>
      </w:pPr>
      <w:r w:rsidRPr="00396A4D">
        <w:rPr>
          <w:sz w:val="24"/>
          <w:szCs w:val="24"/>
        </w:rPr>
        <w:t>Se tale è la prospettiva occorre chiedersi quale possa essere l’impatto d</w:t>
      </w:r>
      <w:r w:rsidR="00BB0652">
        <w:rPr>
          <w:sz w:val="24"/>
          <w:szCs w:val="24"/>
        </w:rPr>
        <w:t xml:space="preserve">ella </w:t>
      </w:r>
      <w:r w:rsidRPr="00396A4D">
        <w:rPr>
          <w:sz w:val="24"/>
          <w:szCs w:val="24"/>
        </w:rPr>
        <w:t xml:space="preserve">nuova regola di politica di bilancio sulle Province e in generale sugli enti locali. </w:t>
      </w:r>
    </w:p>
    <w:p w14:paraId="15423078" w14:textId="77777777" w:rsidR="00BB0652" w:rsidRPr="00396A4D" w:rsidRDefault="00BB0652" w:rsidP="00396A4D">
      <w:pPr>
        <w:spacing w:before="0" w:after="0" w:line="240" w:lineRule="auto"/>
        <w:jc w:val="both"/>
        <w:rPr>
          <w:sz w:val="24"/>
          <w:szCs w:val="24"/>
        </w:rPr>
      </w:pPr>
    </w:p>
    <w:p w14:paraId="4E8B15CC" w14:textId="39512CC0" w:rsidR="00396A4D" w:rsidRDefault="00396A4D" w:rsidP="00396A4D">
      <w:pPr>
        <w:spacing w:before="0" w:after="0" w:line="240" w:lineRule="auto"/>
        <w:jc w:val="both"/>
        <w:rPr>
          <w:b/>
          <w:sz w:val="24"/>
          <w:szCs w:val="24"/>
        </w:rPr>
      </w:pPr>
      <w:r w:rsidRPr="00EC16D7">
        <w:rPr>
          <w:b/>
          <w:sz w:val="24"/>
          <w:szCs w:val="24"/>
        </w:rPr>
        <w:t>Una logica di mera politica fiscale di tetto alla spesa corrente</w:t>
      </w:r>
      <w:r w:rsidR="00EC16D7">
        <w:rPr>
          <w:b/>
          <w:sz w:val="24"/>
          <w:szCs w:val="24"/>
        </w:rPr>
        <w:t xml:space="preserve"> degli enti locali</w:t>
      </w:r>
      <w:r w:rsidRPr="00EC16D7">
        <w:rPr>
          <w:b/>
          <w:sz w:val="24"/>
          <w:szCs w:val="24"/>
        </w:rPr>
        <w:t xml:space="preserve"> non appare ragionevole per i seguenti principali motivi: </w:t>
      </w:r>
    </w:p>
    <w:p w14:paraId="6D51D970" w14:textId="77777777" w:rsidR="00BB0652" w:rsidRPr="00EC16D7" w:rsidRDefault="00BB0652" w:rsidP="00396A4D">
      <w:pPr>
        <w:spacing w:before="0" w:after="0" w:line="240" w:lineRule="auto"/>
        <w:jc w:val="both"/>
        <w:rPr>
          <w:b/>
          <w:sz w:val="24"/>
          <w:szCs w:val="24"/>
        </w:rPr>
      </w:pPr>
    </w:p>
    <w:p w14:paraId="48D0199C" w14:textId="41BD357F" w:rsidR="00396A4D" w:rsidRDefault="00396A4D" w:rsidP="00396A4D">
      <w:pPr>
        <w:spacing w:before="0" w:after="0" w:line="240" w:lineRule="auto"/>
        <w:jc w:val="both"/>
        <w:rPr>
          <w:sz w:val="24"/>
          <w:szCs w:val="24"/>
        </w:rPr>
      </w:pPr>
      <w:r w:rsidRPr="00396A4D">
        <w:rPr>
          <w:sz w:val="24"/>
          <w:szCs w:val="24"/>
        </w:rPr>
        <w:t>-</w:t>
      </w:r>
      <w:r w:rsidRPr="00396A4D">
        <w:rPr>
          <w:sz w:val="24"/>
          <w:szCs w:val="24"/>
        </w:rPr>
        <w:tab/>
      </w:r>
      <w:r w:rsidR="00BB0652">
        <w:rPr>
          <w:b/>
          <w:sz w:val="24"/>
          <w:szCs w:val="24"/>
        </w:rPr>
        <w:t>l</w:t>
      </w:r>
      <w:r w:rsidRPr="00EC16D7">
        <w:rPr>
          <w:b/>
          <w:sz w:val="24"/>
          <w:szCs w:val="24"/>
        </w:rPr>
        <w:t>e Province</w:t>
      </w:r>
      <w:r w:rsidR="00BB0652">
        <w:rPr>
          <w:b/>
          <w:sz w:val="24"/>
          <w:szCs w:val="24"/>
        </w:rPr>
        <w:t xml:space="preserve">, i Comuni e le Città metropolitane </w:t>
      </w:r>
      <w:r w:rsidRPr="00EC16D7">
        <w:rPr>
          <w:b/>
          <w:sz w:val="24"/>
          <w:szCs w:val="24"/>
        </w:rPr>
        <w:t>sono enti attuatori</w:t>
      </w:r>
      <w:r w:rsidRPr="00396A4D">
        <w:rPr>
          <w:sz w:val="24"/>
          <w:szCs w:val="24"/>
        </w:rPr>
        <w:t xml:space="preserve"> di progetti PNRR e avranno un indotto di spesa di natura corrente in ottica pluriennale che non può essere contratto in contrasto con una visione di crescita e resilienza e a danno degli interventi realizzati; </w:t>
      </w:r>
    </w:p>
    <w:p w14:paraId="077444D2" w14:textId="77777777" w:rsidR="00BB0652" w:rsidRPr="00396A4D" w:rsidRDefault="00BB0652" w:rsidP="00396A4D">
      <w:pPr>
        <w:spacing w:before="0" w:after="0" w:line="240" w:lineRule="auto"/>
        <w:jc w:val="both"/>
        <w:rPr>
          <w:sz w:val="24"/>
          <w:szCs w:val="24"/>
        </w:rPr>
      </w:pPr>
    </w:p>
    <w:p w14:paraId="72736217" w14:textId="5203DB34" w:rsidR="00396A4D" w:rsidRDefault="00396A4D" w:rsidP="00396A4D">
      <w:pPr>
        <w:spacing w:before="0" w:after="0" w:line="240" w:lineRule="auto"/>
        <w:jc w:val="both"/>
        <w:rPr>
          <w:sz w:val="24"/>
          <w:szCs w:val="24"/>
        </w:rPr>
      </w:pPr>
      <w:r w:rsidRPr="00396A4D">
        <w:rPr>
          <w:sz w:val="24"/>
          <w:szCs w:val="24"/>
        </w:rPr>
        <w:t>-</w:t>
      </w:r>
      <w:r w:rsidRPr="00396A4D">
        <w:rPr>
          <w:sz w:val="24"/>
          <w:szCs w:val="24"/>
        </w:rPr>
        <w:tab/>
        <w:t xml:space="preserve">gli enti locali sono i principali attuatori delle </w:t>
      </w:r>
      <w:r w:rsidRPr="00EC16D7">
        <w:rPr>
          <w:b/>
          <w:sz w:val="24"/>
          <w:szCs w:val="24"/>
        </w:rPr>
        <w:t>politiche di investimento pubblico</w:t>
      </w:r>
      <w:r w:rsidRPr="00396A4D">
        <w:rPr>
          <w:sz w:val="24"/>
          <w:szCs w:val="24"/>
        </w:rPr>
        <w:t xml:space="preserve"> e tale propensione deve essere </w:t>
      </w:r>
      <w:r w:rsidR="002077DF" w:rsidRPr="00396A4D">
        <w:rPr>
          <w:sz w:val="24"/>
          <w:szCs w:val="24"/>
        </w:rPr>
        <w:t>salvaguardata, soprattutto</w:t>
      </w:r>
      <w:r w:rsidRPr="00396A4D">
        <w:rPr>
          <w:sz w:val="24"/>
          <w:szCs w:val="24"/>
        </w:rPr>
        <w:t xml:space="preserve"> nelle Province;</w:t>
      </w:r>
    </w:p>
    <w:p w14:paraId="7679A3D6" w14:textId="77777777" w:rsidR="00BB0652" w:rsidRPr="00396A4D" w:rsidRDefault="00BB0652" w:rsidP="00396A4D">
      <w:pPr>
        <w:spacing w:before="0" w:after="0" w:line="240" w:lineRule="auto"/>
        <w:jc w:val="both"/>
        <w:rPr>
          <w:sz w:val="24"/>
          <w:szCs w:val="24"/>
        </w:rPr>
      </w:pPr>
    </w:p>
    <w:p w14:paraId="4F870630" w14:textId="087DF246" w:rsidR="00396A4D" w:rsidRDefault="00396A4D" w:rsidP="00396A4D">
      <w:pPr>
        <w:spacing w:before="0" w:after="0" w:line="240" w:lineRule="auto"/>
        <w:jc w:val="both"/>
        <w:rPr>
          <w:sz w:val="24"/>
          <w:szCs w:val="24"/>
        </w:rPr>
      </w:pPr>
      <w:r w:rsidRPr="00396A4D">
        <w:rPr>
          <w:sz w:val="24"/>
          <w:szCs w:val="24"/>
        </w:rPr>
        <w:t>-</w:t>
      </w:r>
      <w:r w:rsidRPr="00396A4D">
        <w:rPr>
          <w:sz w:val="24"/>
          <w:szCs w:val="24"/>
        </w:rPr>
        <w:tab/>
      </w:r>
      <w:r w:rsidRPr="00EC16D7">
        <w:rPr>
          <w:b/>
          <w:sz w:val="24"/>
          <w:szCs w:val="24"/>
        </w:rPr>
        <w:t>la programmazione di bilancio</w:t>
      </w:r>
      <w:r w:rsidRPr="00396A4D">
        <w:rPr>
          <w:sz w:val="24"/>
          <w:szCs w:val="24"/>
        </w:rPr>
        <w:t xml:space="preserve"> deve essere incentivata verso gli investimenti, salvaguardando i fabbisogni correnti funzionali a tale spesa; </w:t>
      </w:r>
    </w:p>
    <w:p w14:paraId="190593A6" w14:textId="77777777" w:rsidR="00BB0652" w:rsidRPr="00396A4D" w:rsidRDefault="00BB0652" w:rsidP="00396A4D">
      <w:pPr>
        <w:spacing w:before="0" w:after="0" w:line="240" w:lineRule="auto"/>
        <w:jc w:val="both"/>
        <w:rPr>
          <w:sz w:val="24"/>
          <w:szCs w:val="24"/>
        </w:rPr>
      </w:pPr>
    </w:p>
    <w:p w14:paraId="0A0546C4" w14:textId="77777777" w:rsidR="00396A4D" w:rsidRDefault="00396A4D" w:rsidP="00396A4D">
      <w:pPr>
        <w:spacing w:before="0" w:after="0" w:line="240" w:lineRule="auto"/>
        <w:jc w:val="both"/>
        <w:rPr>
          <w:sz w:val="24"/>
          <w:szCs w:val="24"/>
        </w:rPr>
      </w:pPr>
      <w:r w:rsidRPr="00396A4D">
        <w:rPr>
          <w:sz w:val="24"/>
          <w:szCs w:val="24"/>
        </w:rPr>
        <w:t>-</w:t>
      </w:r>
      <w:r w:rsidRPr="00396A4D">
        <w:rPr>
          <w:sz w:val="24"/>
          <w:szCs w:val="24"/>
        </w:rPr>
        <w:tab/>
      </w:r>
      <w:r w:rsidRPr="00EC16D7">
        <w:rPr>
          <w:b/>
          <w:sz w:val="24"/>
          <w:szCs w:val="24"/>
        </w:rPr>
        <w:t>le riforme</w:t>
      </w:r>
      <w:r w:rsidRPr="00396A4D">
        <w:rPr>
          <w:sz w:val="24"/>
          <w:szCs w:val="24"/>
        </w:rPr>
        <w:t xml:space="preserve"> sono condizione per incentivare la spesa finalizzata allo sviluppo: Investimento nel capitale umano, semplificazione dei processi, interventi organizzativi, gestione finanziaria virtuosa della cassa (tempestività dei pagamenti), stazioni uniche appaltanti, direzione per progetti (project management) e così di seguito; </w:t>
      </w:r>
    </w:p>
    <w:p w14:paraId="7E05DFBE" w14:textId="77777777" w:rsidR="00BB0652" w:rsidRPr="00396A4D" w:rsidRDefault="00BB0652" w:rsidP="00396A4D">
      <w:pPr>
        <w:spacing w:before="0" w:after="0" w:line="240" w:lineRule="auto"/>
        <w:jc w:val="both"/>
        <w:rPr>
          <w:sz w:val="24"/>
          <w:szCs w:val="24"/>
        </w:rPr>
      </w:pPr>
    </w:p>
    <w:p w14:paraId="78B490A4" w14:textId="3FC475F7" w:rsidR="007730F0" w:rsidRDefault="00396A4D" w:rsidP="00396A4D">
      <w:pPr>
        <w:spacing w:before="0" w:after="0" w:line="240" w:lineRule="auto"/>
        <w:jc w:val="both"/>
        <w:rPr>
          <w:sz w:val="24"/>
          <w:szCs w:val="24"/>
        </w:rPr>
      </w:pPr>
      <w:r w:rsidRPr="00396A4D">
        <w:rPr>
          <w:sz w:val="24"/>
          <w:szCs w:val="24"/>
        </w:rPr>
        <w:t>-</w:t>
      </w:r>
      <w:r w:rsidRPr="00396A4D">
        <w:rPr>
          <w:sz w:val="24"/>
          <w:szCs w:val="24"/>
        </w:rPr>
        <w:tab/>
        <w:t xml:space="preserve">in ultimo, come residuale, ma non meno importante, l’eventuale </w:t>
      </w:r>
      <w:r w:rsidRPr="00EC16D7">
        <w:rPr>
          <w:b/>
          <w:sz w:val="24"/>
          <w:szCs w:val="24"/>
        </w:rPr>
        <w:t>spesa netta</w:t>
      </w:r>
      <w:r w:rsidRPr="00396A4D">
        <w:rPr>
          <w:sz w:val="24"/>
          <w:szCs w:val="24"/>
        </w:rPr>
        <w:t xml:space="preserve"> da valutare deve neutralizzare tutti gli elementi che contribuiscono alla crescita dei territori e allo sviluppo locale.</w:t>
      </w:r>
    </w:p>
    <w:p w14:paraId="48C8E30F" w14:textId="77777777" w:rsidR="008B5A35" w:rsidRPr="00396A4D" w:rsidRDefault="008B5A35" w:rsidP="00396A4D">
      <w:pPr>
        <w:spacing w:before="0" w:after="0" w:line="240" w:lineRule="auto"/>
        <w:jc w:val="both"/>
        <w:rPr>
          <w:sz w:val="24"/>
          <w:szCs w:val="24"/>
        </w:rPr>
      </w:pPr>
    </w:p>
    <w:p w14:paraId="736B1B18" w14:textId="77777777" w:rsidR="008D735F" w:rsidRPr="00476E0D" w:rsidRDefault="008D735F" w:rsidP="008D735F">
      <w:pPr>
        <w:spacing w:before="0" w:after="0" w:line="240" w:lineRule="auto"/>
        <w:jc w:val="both"/>
        <w:rPr>
          <w:sz w:val="24"/>
          <w:szCs w:val="24"/>
        </w:rPr>
      </w:pPr>
    </w:p>
    <w:p w14:paraId="5C5D1429" w14:textId="63F92A6C" w:rsidR="002D5CC4" w:rsidRPr="0000644B" w:rsidRDefault="00444C47" w:rsidP="0000644B">
      <w:pPr>
        <w:pStyle w:val="Paragrafoelenco"/>
        <w:numPr>
          <w:ilvl w:val="0"/>
          <w:numId w:val="10"/>
        </w:numPr>
        <w:spacing w:before="0" w:after="0" w:line="240" w:lineRule="auto"/>
        <w:jc w:val="both"/>
        <w:rPr>
          <w:sz w:val="24"/>
          <w:szCs w:val="24"/>
        </w:rPr>
      </w:pPr>
      <w:r>
        <w:rPr>
          <w:b/>
          <w:bCs/>
          <w:sz w:val="24"/>
          <w:szCs w:val="24"/>
        </w:rPr>
        <w:t>Le riforme e gli investimenti: gli assi di crescita del Paese</w:t>
      </w:r>
    </w:p>
    <w:p w14:paraId="3EF398FD" w14:textId="77777777" w:rsidR="00845EAF" w:rsidRPr="00845EAF" w:rsidRDefault="00845EAF" w:rsidP="00845EAF">
      <w:pPr>
        <w:pStyle w:val="Paragrafoelenco"/>
        <w:spacing w:before="0" w:after="0" w:line="240" w:lineRule="auto"/>
        <w:jc w:val="both"/>
        <w:rPr>
          <w:sz w:val="24"/>
          <w:szCs w:val="24"/>
        </w:rPr>
      </w:pPr>
    </w:p>
    <w:p w14:paraId="4C55DCE9" w14:textId="68A96AC7" w:rsidR="00BE0B64" w:rsidRDefault="00BE0B64" w:rsidP="007730F0">
      <w:pPr>
        <w:autoSpaceDE w:val="0"/>
        <w:autoSpaceDN w:val="0"/>
        <w:adjustRightInd w:val="0"/>
        <w:spacing w:before="0" w:after="0" w:line="240" w:lineRule="auto"/>
        <w:jc w:val="both"/>
        <w:rPr>
          <w:sz w:val="24"/>
          <w:szCs w:val="24"/>
        </w:rPr>
      </w:pPr>
      <w:r>
        <w:rPr>
          <w:sz w:val="24"/>
          <w:szCs w:val="24"/>
        </w:rPr>
        <w:t>Il DEF</w:t>
      </w:r>
      <w:r w:rsidR="002077DF">
        <w:rPr>
          <w:sz w:val="24"/>
          <w:szCs w:val="24"/>
        </w:rPr>
        <w:t xml:space="preserve"> </w:t>
      </w:r>
      <w:r>
        <w:rPr>
          <w:sz w:val="24"/>
          <w:szCs w:val="24"/>
        </w:rPr>
        <w:t>2024</w:t>
      </w:r>
      <w:r w:rsidR="002077DF">
        <w:rPr>
          <w:sz w:val="24"/>
          <w:szCs w:val="24"/>
        </w:rPr>
        <w:t xml:space="preserve"> </w:t>
      </w:r>
      <w:r>
        <w:rPr>
          <w:sz w:val="24"/>
          <w:szCs w:val="24"/>
        </w:rPr>
        <w:t xml:space="preserve">attesta un tendenziale di crescita ancora debole, che non capitalizza gli effetti del Piano Nazionale di Ripresa e Resilienza che, a due anni dalla conclusione, dovrebbe ormai essere nel pieno del percorso di attuazione. </w:t>
      </w:r>
    </w:p>
    <w:p w14:paraId="0A392D48" w14:textId="77777777" w:rsidR="00BE0B64" w:rsidRDefault="00BE0B64" w:rsidP="007730F0">
      <w:pPr>
        <w:autoSpaceDE w:val="0"/>
        <w:autoSpaceDN w:val="0"/>
        <w:adjustRightInd w:val="0"/>
        <w:spacing w:before="0" w:after="0" w:line="240" w:lineRule="auto"/>
        <w:jc w:val="both"/>
        <w:rPr>
          <w:sz w:val="24"/>
          <w:szCs w:val="24"/>
        </w:rPr>
      </w:pPr>
    </w:p>
    <w:p w14:paraId="55631820" w14:textId="2B1AFD74" w:rsidR="00BE0B64" w:rsidRDefault="00BE0B64" w:rsidP="00BE0B64">
      <w:pPr>
        <w:autoSpaceDE w:val="0"/>
        <w:autoSpaceDN w:val="0"/>
        <w:adjustRightInd w:val="0"/>
        <w:spacing w:before="0" w:after="0" w:line="240" w:lineRule="auto"/>
        <w:jc w:val="both"/>
        <w:rPr>
          <w:sz w:val="24"/>
          <w:szCs w:val="24"/>
        </w:rPr>
      </w:pPr>
      <w:r>
        <w:rPr>
          <w:sz w:val="24"/>
          <w:szCs w:val="24"/>
        </w:rPr>
        <w:t xml:space="preserve">A frenare gli effetti del PNRR </w:t>
      </w:r>
      <w:r w:rsidR="0028062A">
        <w:rPr>
          <w:sz w:val="24"/>
          <w:szCs w:val="24"/>
        </w:rPr>
        <w:t xml:space="preserve">sulla finanza del Paese </w:t>
      </w:r>
      <w:r>
        <w:rPr>
          <w:sz w:val="24"/>
          <w:szCs w:val="24"/>
        </w:rPr>
        <w:t xml:space="preserve">è, ovviamente, la congiuntura economica internazionale dovuta ai conflitti in atto, ma anche </w:t>
      </w:r>
      <w:r w:rsidR="0028062A">
        <w:rPr>
          <w:sz w:val="24"/>
          <w:szCs w:val="24"/>
        </w:rPr>
        <w:t xml:space="preserve">la mancanza di un legame forte tra le </w:t>
      </w:r>
      <w:r>
        <w:rPr>
          <w:sz w:val="24"/>
          <w:szCs w:val="24"/>
        </w:rPr>
        <w:t xml:space="preserve">riforme e </w:t>
      </w:r>
      <w:r w:rsidR="0028062A">
        <w:rPr>
          <w:sz w:val="24"/>
          <w:szCs w:val="24"/>
        </w:rPr>
        <w:t xml:space="preserve">gli </w:t>
      </w:r>
      <w:r>
        <w:rPr>
          <w:sz w:val="24"/>
          <w:szCs w:val="24"/>
        </w:rPr>
        <w:t xml:space="preserve">investimenti, </w:t>
      </w:r>
      <w:r w:rsidR="0028062A">
        <w:rPr>
          <w:sz w:val="24"/>
          <w:szCs w:val="24"/>
        </w:rPr>
        <w:t xml:space="preserve">indispensabile per </w:t>
      </w:r>
      <w:r>
        <w:rPr>
          <w:sz w:val="24"/>
          <w:szCs w:val="24"/>
        </w:rPr>
        <w:t>costruire una crescita strutturata, stabile e duratura</w:t>
      </w:r>
      <w:r w:rsidR="0028062A">
        <w:rPr>
          <w:sz w:val="24"/>
          <w:szCs w:val="24"/>
        </w:rPr>
        <w:t xml:space="preserve">. </w:t>
      </w:r>
    </w:p>
    <w:p w14:paraId="0F1C7393" w14:textId="77777777" w:rsidR="00BE0B64" w:rsidRDefault="00BE0B64" w:rsidP="00BE0B64">
      <w:pPr>
        <w:spacing w:before="0" w:after="0" w:line="240" w:lineRule="auto"/>
        <w:jc w:val="both"/>
        <w:rPr>
          <w:sz w:val="24"/>
          <w:szCs w:val="24"/>
        </w:rPr>
      </w:pPr>
    </w:p>
    <w:p w14:paraId="205B10CC" w14:textId="7C2E5E77" w:rsidR="0048659F" w:rsidRDefault="0028062A" w:rsidP="0048659F">
      <w:pPr>
        <w:spacing w:before="0" w:after="0" w:line="240" w:lineRule="auto"/>
        <w:jc w:val="both"/>
        <w:rPr>
          <w:bCs/>
          <w:sz w:val="24"/>
          <w:szCs w:val="24"/>
        </w:rPr>
      </w:pPr>
      <w:r>
        <w:rPr>
          <w:bCs/>
          <w:sz w:val="24"/>
          <w:szCs w:val="24"/>
        </w:rPr>
        <w:t>In merito, s</w:t>
      </w:r>
      <w:r w:rsidR="0048659F" w:rsidRPr="0048659F">
        <w:rPr>
          <w:bCs/>
          <w:sz w:val="24"/>
          <w:szCs w:val="24"/>
        </w:rPr>
        <w:t xml:space="preserve">i riporta quanto indicato dall’UPB in occasione dell’audizione sulla NADEF 2022: </w:t>
      </w:r>
    </w:p>
    <w:p w14:paraId="311E336A" w14:textId="77777777" w:rsidR="0028062A" w:rsidRPr="0048659F" w:rsidRDefault="0028062A" w:rsidP="0048659F">
      <w:pPr>
        <w:spacing w:before="0" w:after="0" w:line="240" w:lineRule="auto"/>
        <w:jc w:val="both"/>
        <w:rPr>
          <w:bCs/>
          <w:sz w:val="24"/>
          <w:szCs w:val="24"/>
        </w:rPr>
      </w:pPr>
    </w:p>
    <w:p w14:paraId="60A01C07" w14:textId="77777777" w:rsidR="0048659F" w:rsidRPr="00EC16D7" w:rsidRDefault="0048659F" w:rsidP="0048659F">
      <w:pPr>
        <w:spacing w:before="0" w:after="0" w:line="240" w:lineRule="auto"/>
        <w:jc w:val="both"/>
        <w:rPr>
          <w:b/>
          <w:bCs/>
          <w:i/>
          <w:iCs/>
          <w:sz w:val="24"/>
          <w:szCs w:val="24"/>
        </w:rPr>
      </w:pPr>
      <w:r w:rsidRPr="00EC16D7">
        <w:rPr>
          <w:b/>
          <w:bCs/>
          <w:i/>
          <w:iCs/>
          <w:sz w:val="24"/>
          <w:szCs w:val="24"/>
        </w:rPr>
        <w:t xml:space="preserve">“Per rispettare i tempi di attuazione del Piano servono un ulteriore rafforzamento della capacità amministrativa e una più decisa semplificazione dei processi autorizzativi. In particolare, per realizzare la crescita prevista per gli investimenti nel 2023 (34,7 per cento) sarà necessario uno sforzo straordinario da parte di tutti i soggetti attuatori. (UPB – Audizione sulla </w:t>
      </w:r>
      <w:proofErr w:type="spellStart"/>
      <w:r w:rsidRPr="00EC16D7">
        <w:rPr>
          <w:b/>
          <w:bCs/>
          <w:i/>
          <w:iCs/>
          <w:sz w:val="24"/>
          <w:szCs w:val="24"/>
        </w:rPr>
        <w:t>Nadef</w:t>
      </w:r>
      <w:proofErr w:type="spellEnd"/>
      <w:r w:rsidRPr="00EC16D7">
        <w:rPr>
          <w:b/>
          <w:bCs/>
          <w:i/>
          <w:iCs/>
          <w:sz w:val="24"/>
          <w:szCs w:val="24"/>
        </w:rPr>
        <w:t xml:space="preserve"> 2022)”. </w:t>
      </w:r>
    </w:p>
    <w:p w14:paraId="79DBB6BD" w14:textId="77777777" w:rsidR="0028062A" w:rsidRDefault="0028062A" w:rsidP="0048659F">
      <w:pPr>
        <w:spacing w:before="0" w:after="0" w:line="240" w:lineRule="auto"/>
        <w:jc w:val="both"/>
        <w:rPr>
          <w:bCs/>
          <w:i/>
          <w:iCs/>
          <w:sz w:val="24"/>
          <w:szCs w:val="24"/>
        </w:rPr>
      </w:pPr>
    </w:p>
    <w:p w14:paraId="34BE7689" w14:textId="77777777" w:rsidR="00AB3483" w:rsidRDefault="00AB3483" w:rsidP="0028062A">
      <w:pPr>
        <w:spacing w:before="0" w:after="0" w:line="240" w:lineRule="auto"/>
        <w:jc w:val="both"/>
        <w:rPr>
          <w:bCs/>
          <w:sz w:val="24"/>
          <w:szCs w:val="24"/>
        </w:rPr>
      </w:pPr>
    </w:p>
    <w:p w14:paraId="7759831F" w14:textId="77777777" w:rsidR="00AB3483" w:rsidRDefault="00AB3483" w:rsidP="0028062A">
      <w:pPr>
        <w:spacing w:before="0" w:after="0" w:line="240" w:lineRule="auto"/>
        <w:jc w:val="both"/>
        <w:rPr>
          <w:bCs/>
          <w:sz w:val="24"/>
          <w:szCs w:val="24"/>
        </w:rPr>
      </w:pPr>
    </w:p>
    <w:p w14:paraId="4591107D" w14:textId="09D62516" w:rsidR="0028062A" w:rsidRDefault="0028062A" w:rsidP="0028062A">
      <w:pPr>
        <w:spacing w:before="0" w:after="0" w:line="240" w:lineRule="auto"/>
        <w:jc w:val="both"/>
        <w:rPr>
          <w:bCs/>
          <w:sz w:val="24"/>
          <w:szCs w:val="24"/>
        </w:rPr>
      </w:pPr>
      <w:r w:rsidRPr="0028062A">
        <w:rPr>
          <w:bCs/>
          <w:sz w:val="24"/>
          <w:szCs w:val="24"/>
        </w:rPr>
        <w:t xml:space="preserve">Queste considerazioni sono coerenti con le raccomandazioni che la Commissione europea ha fatto all’Italia nell’esame delle modifiche al PNRR, rispetto alla necessità di rafforzare la capacità amministrativa delle amministrazioni territoriali, che è </w:t>
      </w:r>
      <w:r w:rsidRPr="0028062A">
        <w:rPr>
          <w:bCs/>
          <w:sz w:val="24"/>
          <w:szCs w:val="24"/>
        </w:rPr>
        <w:lastRenderedPageBreak/>
        <w:t>considerata necessaria per</w:t>
      </w:r>
      <w:r w:rsidR="00396A4D">
        <w:rPr>
          <w:bCs/>
          <w:sz w:val="24"/>
          <w:szCs w:val="24"/>
        </w:rPr>
        <w:t xml:space="preserve"> </w:t>
      </w:r>
      <w:r w:rsidR="00396A4D" w:rsidRPr="002077DF">
        <w:rPr>
          <w:bCs/>
          <w:color w:val="000000" w:themeColor="text1"/>
          <w:sz w:val="24"/>
          <w:szCs w:val="24"/>
        </w:rPr>
        <w:t>il</w:t>
      </w:r>
      <w:r w:rsidRPr="002077DF">
        <w:rPr>
          <w:bCs/>
          <w:color w:val="000000" w:themeColor="text1"/>
          <w:sz w:val="24"/>
          <w:szCs w:val="24"/>
        </w:rPr>
        <w:t xml:space="preserve"> </w:t>
      </w:r>
      <w:r w:rsidRPr="0028062A">
        <w:rPr>
          <w:bCs/>
          <w:sz w:val="24"/>
          <w:szCs w:val="24"/>
        </w:rPr>
        <w:t xml:space="preserve">pieno impiego dell’ingente mole di risorse europee che sono state destinate all’Italia con il PNRR, attraverso la realizzazione di progetti che migliorano le condizioni di vita e di sviluppo dei territori. </w:t>
      </w:r>
    </w:p>
    <w:p w14:paraId="4AB1C18D" w14:textId="77777777" w:rsidR="0048659F" w:rsidRDefault="0048659F" w:rsidP="00DC23E3">
      <w:pPr>
        <w:spacing w:before="0" w:after="0" w:line="240" w:lineRule="auto"/>
        <w:jc w:val="both"/>
        <w:rPr>
          <w:sz w:val="24"/>
          <w:szCs w:val="24"/>
        </w:rPr>
      </w:pPr>
    </w:p>
    <w:p w14:paraId="00AD15AC" w14:textId="77777777" w:rsidR="0028062A" w:rsidRDefault="0028062A" w:rsidP="006718DA">
      <w:pPr>
        <w:spacing w:before="0" w:after="0" w:line="240" w:lineRule="auto"/>
        <w:jc w:val="both"/>
        <w:rPr>
          <w:sz w:val="24"/>
          <w:szCs w:val="24"/>
        </w:rPr>
      </w:pPr>
      <w:r>
        <w:rPr>
          <w:sz w:val="24"/>
          <w:szCs w:val="24"/>
        </w:rPr>
        <w:t xml:space="preserve">Occorre dunque, intervenire su due piani: da un lato, va rafforzata la capacità amministrativa degli enti, dall’altra si deve operare con semplificazioni per accelerare gli investimenti. </w:t>
      </w:r>
    </w:p>
    <w:p w14:paraId="1D885048" w14:textId="77777777" w:rsidR="0028062A" w:rsidRDefault="0028062A" w:rsidP="006718DA">
      <w:pPr>
        <w:spacing w:before="0" w:after="0" w:line="240" w:lineRule="auto"/>
        <w:jc w:val="both"/>
        <w:rPr>
          <w:sz w:val="24"/>
          <w:szCs w:val="24"/>
        </w:rPr>
      </w:pPr>
    </w:p>
    <w:p w14:paraId="55B9A21E" w14:textId="001FEA57" w:rsidR="0028062A" w:rsidRPr="002077DF" w:rsidRDefault="0028062A" w:rsidP="006718DA">
      <w:pPr>
        <w:spacing w:before="0" w:after="0" w:line="240" w:lineRule="auto"/>
        <w:jc w:val="both"/>
        <w:rPr>
          <w:b/>
          <w:color w:val="000000" w:themeColor="text1"/>
          <w:sz w:val="24"/>
          <w:szCs w:val="24"/>
        </w:rPr>
      </w:pPr>
      <w:r w:rsidRPr="00EC16D7">
        <w:rPr>
          <w:b/>
          <w:sz w:val="24"/>
          <w:szCs w:val="24"/>
        </w:rPr>
        <w:t>L’obiettivo generale è di aumentare la capacità di spesa del Paese</w:t>
      </w:r>
      <w:r w:rsidR="00EC16D7">
        <w:rPr>
          <w:sz w:val="24"/>
          <w:szCs w:val="24"/>
        </w:rPr>
        <w:t xml:space="preserve"> </w:t>
      </w:r>
      <w:r w:rsidR="00EC16D7" w:rsidRPr="002077DF">
        <w:rPr>
          <w:b/>
          <w:color w:val="000000" w:themeColor="text1"/>
          <w:sz w:val="24"/>
          <w:szCs w:val="24"/>
        </w:rPr>
        <w:t>orientata dai nuovi paradigmi introdotti dal PNRR: monitoraggio procedimentale e rispetto dei tempi, monitoraggio finanziario e fisico per creare “valore pubblico”</w:t>
      </w:r>
      <w:r w:rsidRPr="002077DF">
        <w:rPr>
          <w:b/>
          <w:color w:val="000000" w:themeColor="text1"/>
          <w:sz w:val="24"/>
          <w:szCs w:val="24"/>
        </w:rPr>
        <w:t xml:space="preserve">. </w:t>
      </w:r>
    </w:p>
    <w:p w14:paraId="3DD4AECE" w14:textId="77777777" w:rsidR="0028062A" w:rsidRDefault="0028062A" w:rsidP="006718DA">
      <w:pPr>
        <w:spacing w:before="0" w:after="0" w:line="240" w:lineRule="auto"/>
        <w:jc w:val="both"/>
        <w:rPr>
          <w:sz w:val="24"/>
          <w:szCs w:val="24"/>
        </w:rPr>
      </w:pPr>
    </w:p>
    <w:p w14:paraId="340C017D" w14:textId="66128149" w:rsidR="006718DA" w:rsidRDefault="0028062A" w:rsidP="006718DA">
      <w:pPr>
        <w:spacing w:before="0" w:after="0" w:line="240" w:lineRule="auto"/>
        <w:jc w:val="both"/>
        <w:rPr>
          <w:sz w:val="24"/>
          <w:szCs w:val="24"/>
        </w:rPr>
      </w:pPr>
      <w:r>
        <w:rPr>
          <w:sz w:val="24"/>
          <w:szCs w:val="24"/>
        </w:rPr>
        <w:t xml:space="preserve">A questo </w:t>
      </w:r>
      <w:r w:rsidR="00096B12">
        <w:rPr>
          <w:sz w:val="24"/>
          <w:szCs w:val="24"/>
        </w:rPr>
        <w:t>servono</w:t>
      </w:r>
      <w:r w:rsidR="006718DA">
        <w:rPr>
          <w:b/>
          <w:bCs/>
          <w:sz w:val="24"/>
          <w:szCs w:val="24"/>
        </w:rPr>
        <w:t xml:space="preserve"> la riforma della PA e la r</w:t>
      </w:r>
      <w:r w:rsidR="0071285C">
        <w:rPr>
          <w:b/>
          <w:bCs/>
          <w:sz w:val="24"/>
          <w:szCs w:val="24"/>
        </w:rPr>
        <w:t xml:space="preserve">iforma dei Contratti </w:t>
      </w:r>
      <w:proofErr w:type="gramStart"/>
      <w:r w:rsidR="0071285C">
        <w:rPr>
          <w:b/>
          <w:bCs/>
          <w:sz w:val="24"/>
          <w:szCs w:val="24"/>
        </w:rPr>
        <w:t>Pubblici</w:t>
      </w:r>
      <w:r w:rsidR="0071285C" w:rsidRPr="002077DF">
        <w:rPr>
          <w:b/>
          <w:bCs/>
          <w:color w:val="000000" w:themeColor="text1"/>
          <w:sz w:val="24"/>
          <w:szCs w:val="24"/>
        </w:rPr>
        <w:t xml:space="preserve">,  </w:t>
      </w:r>
      <w:r w:rsidR="0071285C" w:rsidRPr="002077DF">
        <w:rPr>
          <w:color w:val="000000" w:themeColor="text1"/>
          <w:sz w:val="24"/>
          <w:szCs w:val="24"/>
        </w:rPr>
        <w:t>la</w:t>
      </w:r>
      <w:proofErr w:type="gramEnd"/>
      <w:r w:rsidR="0071285C" w:rsidRPr="002077DF">
        <w:rPr>
          <w:color w:val="000000" w:themeColor="text1"/>
          <w:sz w:val="24"/>
          <w:szCs w:val="24"/>
        </w:rPr>
        <w:t xml:space="preserve"> prima trasversale</w:t>
      </w:r>
      <w:r w:rsidR="002077DF">
        <w:rPr>
          <w:color w:val="000000" w:themeColor="text1"/>
          <w:sz w:val="24"/>
          <w:szCs w:val="24"/>
        </w:rPr>
        <w:t>,</w:t>
      </w:r>
      <w:r w:rsidR="0071285C" w:rsidRPr="002077DF">
        <w:rPr>
          <w:color w:val="000000" w:themeColor="text1"/>
          <w:sz w:val="24"/>
          <w:szCs w:val="24"/>
        </w:rPr>
        <w:t xml:space="preserve"> la seconda abilitante</w:t>
      </w:r>
      <w:r w:rsidR="0071285C" w:rsidRPr="002077DF">
        <w:rPr>
          <w:sz w:val="24"/>
          <w:szCs w:val="24"/>
        </w:rPr>
        <w:t>,</w:t>
      </w:r>
      <w:r w:rsidR="0071285C">
        <w:rPr>
          <w:b/>
          <w:bCs/>
          <w:sz w:val="24"/>
          <w:szCs w:val="24"/>
        </w:rPr>
        <w:t xml:space="preserve"> </w:t>
      </w:r>
      <w:r w:rsidR="006718DA">
        <w:rPr>
          <w:b/>
          <w:bCs/>
          <w:sz w:val="24"/>
          <w:szCs w:val="24"/>
        </w:rPr>
        <w:t xml:space="preserve">che devono </w:t>
      </w:r>
      <w:r w:rsidR="00096B12">
        <w:rPr>
          <w:b/>
          <w:bCs/>
          <w:sz w:val="24"/>
          <w:szCs w:val="24"/>
        </w:rPr>
        <w:t xml:space="preserve">però </w:t>
      </w:r>
      <w:r w:rsidR="006718DA">
        <w:rPr>
          <w:b/>
          <w:bCs/>
          <w:sz w:val="24"/>
          <w:szCs w:val="24"/>
        </w:rPr>
        <w:t xml:space="preserve">essere consolidate e rafforzate, </w:t>
      </w:r>
      <w:r w:rsidR="006718DA">
        <w:rPr>
          <w:sz w:val="24"/>
          <w:szCs w:val="24"/>
        </w:rPr>
        <w:t xml:space="preserve">in modo che possano assicurare effetti duraturi e strutturali a sostegno </w:t>
      </w:r>
      <w:r w:rsidR="006718DA" w:rsidRPr="00476E0D">
        <w:rPr>
          <w:sz w:val="24"/>
          <w:szCs w:val="24"/>
        </w:rPr>
        <w:t>della ripresa degli investimenti.</w:t>
      </w:r>
    </w:p>
    <w:p w14:paraId="0AF22785" w14:textId="77777777" w:rsidR="0028062A" w:rsidRDefault="0028062A" w:rsidP="0028062A">
      <w:pPr>
        <w:spacing w:before="0" w:after="0" w:line="240" w:lineRule="auto"/>
        <w:jc w:val="both"/>
        <w:rPr>
          <w:bCs/>
          <w:i/>
          <w:iCs/>
          <w:sz w:val="24"/>
          <w:szCs w:val="24"/>
        </w:rPr>
      </w:pPr>
    </w:p>
    <w:p w14:paraId="1E265EE1" w14:textId="77777777" w:rsidR="0028062A" w:rsidRDefault="0028062A" w:rsidP="0028062A">
      <w:pPr>
        <w:spacing w:before="0" w:after="0" w:line="240" w:lineRule="auto"/>
        <w:jc w:val="both"/>
        <w:rPr>
          <w:sz w:val="24"/>
          <w:szCs w:val="24"/>
        </w:rPr>
      </w:pPr>
      <w:r w:rsidRPr="008B5A35">
        <w:rPr>
          <w:sz w:val="24"/>
          <w:szCs w:val="24"/>
        </w:rPr>
        <w:t xml:space="preserve">Come UPI abbiamo in ogni sede evidenziato quanto </w:t>
      </w:r>
      <w:r w:rsidRPr="008B5A35">
        <w:rPr>
          <w:b/>
          <w:bCs/>
          <w:sz w:val="24"/>
          <w:szCs w:val="24"/>
        </w:rPr>
        <w:t>serva un piano nazionale straordinario di assunzioni nelle Province</w:t>
      </w:r>
      <w:r>
        <w:rPr>
          <w:sz w:val="24"/>
          <w:szCs w:val="24"/>
        </w:rPr>
        <w:t xml:space="preserve">, che porti </w:t>
      </w:r>
      <w:r w:rsidRPr="00996459">
        <w:rPr>
          <w:b/>
          <w:bCs/>
          <w:sz w:val="24"/>
          <w:szCs w:val="24"/>
        </w:rPr>
        <w:t>all’immiss</w:t>
      </w:r>
      <w:r w:rsidRPr="003F643F">
        <w:rPr>
          <w:b/>
          <w:bCs/>
          <w:sz w:val="24"/>
          <w:szCs w:val="24"/>
        </w:rPr>
        <w:t>ione di personale altamente specializzato</w:t>
      </w:r>
      <w:r>
        <w:rPr>
          <w:b/>
          <w:bCs/>
          <w:sz w:val="24"/>
          <w:szCs w:val="24"/>
        </w:rPr>
        <w:t xml:space="preserve">: </w:t>
      </w:r>
      <w:r>
        <w:rPr>
          <w:sz w:val="24"/>
          <w:szCs w:val="24"/>
        </w:rPr>
        <w:t xml:space="preserve">progettisti, tecnici specializzati, esperti di gestione degli appalti, esperti nella trasformazione digitale e nella trasformazione energetica, etc...  </w:t>
      </w:r>
    </w:p>
    <w:p w14:paraId="4112A8D1" w14:textId="77777777" w:rsidR="0028062A" w:rsidRDefault="0028062A" w:rsidP="0028062A">
      <w:pPr>
        <w:spacing w:before="0" w:after="0" w:line="240" w:lineRule="auto"/>
        <w:jc w:val="both"/>
        <w:rPr>
          <w:sz w:val="24"/>
          <w:szCs w:val="24"/>
        </w:rPr>
      </w:pPr>
    </w:p>
    <w:p w14:paraId="03E333EB" w14:textId="09D52B33" w:rsidR="0028062A" w:rsidRPr="003F0B25" w:rsidRDefault="0028062A" w:rsidP="0028062A">
      <w:pPr>
        <w:spacing w:before="0" w:after="0" w:line="240" w:lineRule="auto"/>
        <w:jc w:val="both"/>
        <w:rPr>
          <w:sz w:val="24"/>
          <w:szCs w:val="24"/>
          <w:u w:val="single"/>
        </w:rPr>
      </w:pPr>
      <w:r w:rsidRPr="008B5A35">
        <w:rPr>
          <w:sz w:val="24"/>
          <w:szCs w:val="24"/>
        </w:rPr>
        <w:t xml:space="preserve">Basti pensare che dal 2014 al 2020 il personale si è </w:t>
      </w:r>
      <w:r w:rsidRPr="008B5A35">
        <w:rPr>
          <w:b/>
          <w:bCs/>
          <w:sz w:val="24"/>
          <w:szCs w:val="24"/>
        </w:rPr>
        <w:t>ridotto del -67,7%</w:t>
      </w:r>
      <w:r w:rsidR="008C55BC" w:rsidRPr="008B5A35">
        <w:rPr>
          <w:sz w:val="24"/>
          <w:szCs w:val="24"/>
        </w:rPr>
        <w:t xml:space="preserve"> </w:t>
      </w:r>
      <w:r w:rsidRPr="008B5A35">
        <w:rPr>
          <w:sz w:val="24"/>
          <w:szCs w:val="24"/>
        </w:rPr>
        <w:t>come certificato</w:t>
      </w:r>
      <w:r w:rsidRPr="00CF36D5">
        <w:rPr>
          <w:sz w:val="24"/>
          <w:szCs w:val="24"/>
        </w:rPr>
        <w:t xml:space="preserve"> dal “Commento ai principali dati del conto annuale del periodo 2012-2021” della RGS, </w:t>
      </w:r>
      <w:r>
        <w:rPr>
          <w:sz w:val="24"/>
          <w:szCs w:val="24"/>
        </w:rPr>
        <w:t xml:space="preserve">che evidenzia come queste istituzioni abbiano </w:t>
      </w:r>
      <w:r w:rsidRPr="00CF36D5">
        <w:rPr>
          <w:sz w:val="24"/>
          <w:szCs w:val="24"/>
        </w:rPr>
        <w:t>subito</w:t>
      </w:r>
      <w:r>
        <w:rPr>
          <w:sz w:val="24"/>
          <w:szCs w:val="24"/>
        </w:rPr>
        <w:t xml:space="preserve">, più di tutte, </w:t>
      </w:r>
      <w:r w:rsidRPr="00CF36D5">
        <w:rPr>
          <w:sz w:val="24"/>
          <w:szCs w:val="24"/>
        </w:rPr>
        <w:t>profondi processi di indebolimento e svuotamento delle loro strutture amministrative</w:t>
      </w:r>
      <w:r>
        <w:rPr>
          <w:sz w:val="24"/>
          <w:szCs w:val="24"/>
        </w:rPr>
        <w:t xml:space="preserve">. </w:t>
      </w:r>
    </w:p>
    <w:p w14:paraId="3E4B779E" w14:textId="77777777" w:rsidR="0028062A" w:rsidRDefault="0028062A" w:rsidP="0028062A">
      <w:pPr>
        <w:spacing w:before="0" w:after="0" w:line="240" w:lineRule="auto"/>
        <w:jc w:val="both"/>
        <w:rPr>
          <w:sz w:val="24"/>
          <w:szCs w:val="24"/>
        </w:rPr>
      </w:pPr>
    </w:p>
    <w:p w14:paraId="306BD1E3" w14:textId="77777777" w:rsidR="00096B12" w:rsidRPr="00096B12" w:rsidRDefault="00096B12" w:rsidP="00096B12">
      <w:pPr>
        <w:spacing w:before="0" w:after="0" w:line="240" w:lineRule="auto"/>
        <w:jc w:val="both"/>
        <w:rPr>
          <w:b/>
          <w:bCs/>
          <w:sz w:val="24"/>
          <w:szCs w:val="24"/>
        </w:rPr>
      </w:pPr>
      <w:r w:rsidRPr="00096B12">
        <w:rPr>
          <w:b/>
          <w:bCs/>
          <w:sz w:val="24"/>
          <w:szCs w:val="24"/>
        </w:rPr>
        <w:t xml:space="preserve">Riteniamo essenziale, in particolare, concentrare risorse e interventi per rafforzare le Stazioni Uniche Appaltanti delle Province e delle Città metropolitane, </w:t>
      </w:r>
      <w:r w:rsidRPr="00096B12">
        <w:rPr>
          <w:sz w:val="24"/>
          <w:szCs w:val="24"/>
        </w:rPr>
        <w:t>per</w:t>
      </w:r>
      <w:r w:rsidRPr="00096B12">
        <w:rPr>
          <w:b/>
          <w:bCs/>
          <w:sz w:val="24"/>
          <w:szCs w:val="24"/>
        </w:rPr>
        <w:t xml:space="preserve"> </w:t>
      </w:r>
      <w:r w:rsidRPr="00096B12">
        <w:rPr>
          <w:sz w:val="24"/>
          <w:szCs w:val="24"/>
        </w:rPr>
        <w:t xml:space="preserve">evitare dispersioni e rendere la macchina amministrativa più efficiente e quindi in grado di cogliere a pieno le opportunità dei programmi di investimento europei e nazionali. </w:t>
      </w:r>
    </w:p>
    <w:p w14:paraId="335FD1C0" w14:textId="77777777" w:rsidR="00096B12" w:rsidRPr="00096B12" w:rsidRDefault="00096B12" w:rsidP="00096B12">
      <w:pPr>
        <w:spacing w:before="0" w:after="0" w:line="240" w:lineRule="auto"/>
        <w:jc w:val="both"/>
        <w:rPr>
          <w:sz w:val="24"/>
          <w:szCs w:val="24"/>
        </w:rPr>
      </w:pPr>
    </w:p>
    <w:p w14:paraId="7A9A9F3C" w14:textId="1EA3BE61" w:rsidR="00096B12" w:rsidRPr="00096B12" w:rsidRDefault="00096B12" w:rsidP="00096B12">
      <w:pPr>
        <w:spacing w:before="0" w:after="0" w:line="240" w:lineRule="auto"/>
        <w:jc w:val="both"/>
        <w:rPr>
          <w:sz w:val="24"/>
          <w:szCs w:val="24"/>
        </w:rPr>
      </w:pPr>
      <w:r w:rsidRPr="00096B12">
        <w:rPr>
          <w:sz w:val="24"/>
          <w:szCs w:val="24"/>
        </w:rPr>
        <w:t>Occorre tener presente che tutte le 86 Province italiane hanno provveduto a qualificarsi come stazioni appaltanti e centrali di committenza e gestiscono contratti per oltre 2</w:t>
      </w:r>
      <w:r w:rsidR="00FF0DBD">
        <w:rPr>
          <w:sz w:val="24"/>
          <w:szCs w:val="24"/>
        </w:rPr>
        <w:t>.</w:t>
      </w:r>
      <w:r w:rsidRPr="00096B12">
        <w:rPr>
          <w:sz w:val="24"/>
          <w:szCs w:val="24"/>
        </w:rPr>
        <w:t xml:space="preserve">100 Comuni ed enti locali del loro territorio. </w:t>
      </w:r>
    </w:p>
    <w:p w14:paraId="4214C856" w14:textId="77777777" w:rsidR="00096B12" w:rsidRPr="00096B12" w:rsidRDefault="00096B12" w:rsidP="00096B12">
      <w:pPr>
        <w:spacing w:before="0" w:after="0" w:line="240" w:lineRule="auto"/>
        <w:jc w:val="both"/>
        <w:rPr>
          <w:sz w:val="24"/>
          <w:szCs w:val="24"/>
        </w:rPr>
      </w:pPr>
    </w:p>
    <w:p w14:paraId="7DFE75E2" w14:textId="22994A51" w:rsidR="00096B12" w:rsidRPr="00096B12" w:rsidRDefault="00096B12" w:rsidP="00096B12">
      <w:pPr>
        <w:spacing w:before="0" w:after="0" w:line="240" w:lineRule="auto"/>
        <w:jc w:val="both"/>
        <w:rPr>
          <w:sz w:val="24"/>
          <w:szCs w:val="24"/>
        </w:rPr>
      </w:pPr>
      <w:r w:rsidRPr="00096B12">
        <w:rPr>
          <w:sz w:val="24"/>
          <w:szCs w:val="24"/>
        </w:rPr>
        <w:t xml:space="preserve">Nel 2023 queste strutture hanno più che raddoppiato la capacità di </w:t>
      </w:r>
      <w:r w:rsidR="00644665" w:rsidRPr="002077DF">
        <w:rPr>
          <w:color w:val="000000" w:themeColor="text1"/>
          <w:sz w:val="24"/>
          <w:szCs w:val="24"/>
        </w:rPr>
        <w:t>contrattualizzazione</w:t>
      </w:r>
      <w:r w:rsidRPr="00096B12">
        <w:rPr>
          <w:sz w:val="24"/>
          <w:szCs w:val="24"/>
        </w:rPr>
        <w:t xml:space="preserve">: gli appalti gestiti sono passato da 4 </w:t>
      </w:r>
      <w:proofErr w:type="gramStart"/>
      <w:r w:rsidRPr="00096B12">
        <w:rPr>
          <w:sz w:val="24"/>
          <w:szCs w:val="24"/>
        </w:rPr>
        <w:t xml:space="preserve">a  </w:t>
      </w:r>
      <w:r>
        <w:rPr>
          <w:sz w:val="24"/>
          <w:szCs w:val="24"/>
        </w:rPr>
        <w:t>9</w:t>
      </w:r>
      <w:proofErr w:type="gramEnd"/>
      <w:r>
        <w:rPr>
          <w:sz w:val="24"/>
          <w:szCs w:val="24"/>
        </w:rPr>
        <w:t>,</w:t>
      </w:r>
      <w:r w:rsidRPr="00096B12">
        <w:rPr>
          <w:sz w:val="24"/>
          <w:szCs w:val="24"/>
        </w:rPr>
        <w:t xml:space="preserve">4 miliardi di euro, di cui oltre un terzo per conto di altri enti.  </w:t>
      </w:r>
    </w:p>
    <w:p w14:paraId="25FD55B7" w14:textId="77777777" w:rsidR="00096B12" w:rsidRPr="00096B12" w:rsidRDefault="00096B12" w:rsidP="00096B12">
      <w:pPr>
        <w:spacing w:before="0" w:after="0" w:line="240" w:lineRule="auto"/>
        <w:jc w:val="both"/>
        <w:rPr>
          <w:sz w:val="24"/>
          <w:szCs w:val="24"/>
        </w:rPr>
      </w:pPr>
    </w:p>
    <w:p w14:paraId="171B71F2" w14:textId="77777777" w:rsidR="00AB3483" w:rsidRDefault="00AB3483" w:rsidP="00096B12">
      <w:pPr>
        <w:spacing w:before="0" w:after="0" w:line="240" w:lineRule="auto"/>
        <w:jc w:val="both"/>
        <w:rPr>
          <w:sz w:val="24"/>
          <w:szCs w:val="24"/>
        </w:rPr>
      </w:pPr>
    </w:p>
    <w:p w14:paraId="78514D6F" w14:textId="77777777" w:rsidR="00AB3483" w:rsidRDefault="00AB3483" w:rsidP="00096B12">
      <w:pPr>
        <w:spacing w:before="0" w:after="0" w:line="240" w:lineRule="auto"/>
        <w:jc w:val="both"/>
        <w:rPr>
          <w:sz w:val="24"/>
          <w:szCs w:val="24"/>
        </w:rPr>
      </w:pPr>
    </w:p>
    <w:p w14:paraId="4B1841CB" w14:textId="77777777" w:rsidR="00AB3483" w:rsidRDefault="00AB3483" w:rsidP="00096B12">
      <w:pPr>
        <w:spacing w:before="0" w:after="0" w:line="240" w:lineRule="auto"/>
        <w:jc w:val="both"/>
        <w:rPr>
          <w:sz w:val="24"/>
          <w:szCs w:val="24"/>
        </w:rPr>
      </w:pPr>
    </w:p>
    <w:p w14:paraId="2856CDE1" w14:textId="62149801" w:rsidR="00096B12" w:rsidRPr="00476E0D" w:rsidRDefault="00096B12" w:rsidP="00096B12">
      <w:pPr>
        <w:spacing w:before="0" w:after="0" w:line="240" w:lineRule="auto"/>
        <w:jc w:val="both"/>
        <w:rPr>
          <w:sz w:val="24"/>
          <w:szCs w:val="24"/>
        </w:rPr>
      </w:pPr>
      <w:r>
        <w:rPr>
          <w:sz w:val="24"/>
          <w:szCs w:val="24"/>
        </w:rPr>
        <w:t>Quanto invece al rafforzamento degli investimenti, la</w:t>
      </w:r>
      <w:r w:rsidRPr="00476E0D">
        <w:rPr>
          <w:sz w:val="24"/>
          <w:szCs w:val="24"/>
        </w:rPr>
        <w:t xml:space="preserve"> riforma </w:t>
      </w:r>
      <w:r>
        <w:rPr>
          <w:sz w:val="24"/>
          <w:szCs w:val="24"/>
        </w:rPr>
        <w:t xml:space="preserve">del </w:t>
      </w:r>
      <w:r w:rsidRPr="0079146F">
        <w:rPr>
          <w:b/>
          <w:bCs/>
          <w:sz w:val="24"/>
          <w:szCs w:val="24"/>
        </w:rPr>
        <w:t>Codice dei contratti pubblici</w:t>
      </w:r>
      <w:r w:rsidRPr="00476E0D">
        <w:rPr>
          <w:sz w:val="24"/>
          <w:szCs w:val="24"/>
        </w:rPr>
        <w:t xml:space="preserve">, </w:t>
      </w:r>
      <w:r>
        <w:rPr>
          <w:sz w:val="24"/>
          <w:szCs w:val="24"/>
        </w:rPr>
        <w:t>attuata attraverso il d.lgs. 36/23, pur introducendo importanti elementi di</w:t>
      </w:r>
      <w:r w:rsidRPr="00DF2AB6">
        <w:rPr>
          <w:b/>
          <w:bCs/>
          <w:sz w:val="24"/>
          <w:szCs w:val="24"/>
        </w:rPr>
        <w:t xml:space="preserve"> </w:t>
      </w:r>
      <w:r w:rsidRPr="000C6031">
        <w:rPr>
          <w:sz w:val="24"/>
          <w:szCs w:val="24"/>
        </w:rPr>
        <w:t>semplificazione</w:t>
      </w:r>
      <w:r w:rsidRPr="00476E0D">
        <w:rPr>
          <w:sz w:val="24"/>
          <w:szCs w:val="24"/>
        </w:rPr>
        <w:t>,</w:t>
      </w:r>
      <w:r>
        <w:rPr>
          <w:sz w:val="24"/>
          <w:szCs w:val="24"/>
        </w:rPr>
        <w:t xml:space="preserve"> </w:t>
      </w:r>
      <w:r w:rsidRPr="003F0B25">
        <w:rPr>
          <w:b/>
          <w:bCs/>
          <w:sz w:val="24"/>
          <w:szCs w:val="24"/>
        </w:rPr>
        <w:t>non individua con chiarezza l’ambito territoriale ottimale entro cui concentrare la gestione degli appalti pubblici locali</w:t>
      </w:r>
      <w:r>
        <w:rPr>
          <w:sz w:val="24"/>
          <w:szCs w:val="24"/>
        </w:rPr>
        <w:t xml:space="preserve">. </w:t>
      </w:r>
    </w:p>
    <w:p w14:paraId="2524EF4E" w14:textId="77777777" w:rsidR="00096B12" w:rsidRDefault="00096B12" w:rsidP="00096B12">
      <w:pPr>
        <w:spacing w:before="0" w:after="0" w:line="240" w:lineRule="auto"/>
        <w:ind w:left="360"/>
        <w:jc w:val="both"/>
        <w:rPr>
          <w:sz w:val="24"/>
          <w:szCs w:val="24"/>
        </w:rPr>
      </w:pPr>
    </w:p>
    <w:p w14:paraId="14FD5084" w14:textId="77777777" w:rsidR="00096B12" w:rsidRDefault="00096B12" w:rsidP="00096B12">
      <w:pPr>
        <w:spacing w:before="0" w:after="0" w:line="240" w:lineRule="auto"/>
        <w:jc w:val="both"/>
        <w:rPr>
          <w:sz w:val="24"/>
          <w:szCs w:val="24"/>
        </w:rPr>
      </w:pPr>
      <w:r>
        <w:rPr>
          <w:sz w:val="24"/>
          <w:szCs w:val="24"/>
        </w:rPr>
        <w:t xml:space="preserve">La </w:t>
      </w:r>
      <w:r w:rsidRPr="003F0B25">
        <w:rPr>
          <w:b/>
          <w:bCs/>
          <w:sz w:val="24"/>
          <w:szCs w:val="24"/>
        </w:rPr>
        <w:t>mancata valorizzazione di</w:t>
      </w:r>
      <w:r w:rsidRPr="00DF2AB6">
        <w:rPr>
          <w:b/>
          <w:bCs/>
          <w:sz w:val="24"/>
          <w:szCs w:val="24"/>
        </w:rPr>
        <w:t xml:space="preserve"> Province e Città metropolitane</w:t>
      </w:r>
      <w:r>
        <w:rPr>
          <w:b/>
          <w:bCs/>
          <w:sz w:val="24"/>
          <w:szCs w:val="24"/>
        </w:rPr>
        <w:t xml:space="preserve">, quali sedi ottimali cui assegnare </w:t>
      </w:r>
      <w:r w:rsidRPr="00476E0D">
        <w:rPr>
          <w:sz w:val="24"/>
          <w:szCs w:val="24"/>
        </w:rPr>
        <w:t xml:space="preserve">la progettazione, l’affidamento e l’esecuzione dei contratti e degli investimenti pubblici </w:t>
      </w:r>
      <w:r>
        <w:rPr>
          <w:sz w:val="24"/>
          <w:szCs w:val="24"/>
        </w:rPr>
        <w:t xml:space="preserve">anche </w:t>
      </w:r>
      <w:r w:rsidRPr="00476E0D">
        <w:rPr>
          <w:sz w:val="24"/>
          <w:szCs w:val="24"/>
        </w:rPr>
        <w:t>a servizio degli enti locali del territorio</w:t>
      </w:r>
      <w:r>
        <w:rPr>
          <w:sz w:val="24"/>
          <w:szCs w:val="24"/>
        </w:rPr>
        <w:t xml:space="preserve">, </w:t>
      </w:r>
      <w:r w:rsidRPr="003F0B25">
        <w:rPr>
          <w:b/>
          <w:bCs/>
          <w:sz w:val="24"/>
          <w:szCs w:val="24"/>
        </w:rPr>
        <w:t>riduce l’efficacia della riforma</w:t>
      </w:r>
      <w:r>
        <w:rPr>
          <w:sz w:val="24"/>
          <w:szCs w:val="24"/>
        </w:rPr>
        <w:t xml:space="preserve">. </w:t>
      </w:r>
    </w:p>
    <w:p w14:paraId="55068EE0" w14:textId="77777777" w:rsidR="00096B12" w:rsidRDefault="00096B12" w:rsidP="00096B12">
      <w:pPr>
        <w:spacing w:before="0" w:after="0" w:line="240" w:lineRule="auto"/>
        <w:jc w:val="both"/>
        <w:rPr>
          <w:sz w:val="24"/>
          <w:szCs w:val="24"/>
        </w:rPr>
      </w:pPr>
    </w:p>
    <w:p w14:paraId="77A406AE" w14:textId="095A51C6" w:rsidR="00096B12" w:rsidRDefault="00096B12" w:rsidP="00096B12">
      <w:pPr>
        <w:spacing w:before="0" w:after="0" w:line="240" w:lineRule="auto"/>
        <w:jc w:val="both"/>
        <w:rPr>
          <w:sz w:val="24"/>
          <w:szCs w:val="24"/>
        </w:rPr>
      </w:pPr>
      <w:r w:rsidRPr="00096B12">
        <w:rPr>
          <w:sz w:val="24"/>
          <w:szCs w:val="24"/>
        </w:rPr>
        <w:t>Consolidare i progressi compiuti nel processo di gestione degli appalti pubblici a livello territoriale della PA è una scelta strategica per il Paese, che deve realizzarsi attraverso:</w:t>
      </w:r>
    </w:p>
    <w:p w14:paraId="6AA14336" w14:textId="77777777" w:rsidR="00096B12" w:rsidRDefault="00096B12" w:rsidP="00096B12">
      <w:pPr>
        <w:spacing w:before="0" w:after="0" w:line="240" w:lineRule="auto"/>
        <w:jc w:val="both"/>
        <w:rPr>
          <w:sz w:val="24"/>
          <w:szCs w:val="24"/>
        </w:rPr>
      </w:pPr>
    </w:p>
    <w:p w14:paraId="479C4E27" w14:textId="77777777" w:rsidR="00096B12" w:rsidRDefault="00096B12" w:rsidP="00096B12">
      <w:pPr>
        <w:pStyle w:val="Paragrafoelenco"/>
        <w:numPr>
          <w:ilvl w:val="0"/>
          <w:numId w:val="9"/>
        </w:numPr>
        <w:spacing w:before="0" w:after="0" w:line="240" w:lineRule="auto"/>
        <w:jc w:val="both"/>
        <w:rPr>
          <w:rFonts w:cs="Calibri"/>
          <w:b/>
          <w:bCs/>
          <w:sz w:val="24"/>
          <w:szCs w:val="24"/>
        </w:rPr>
      </w:pPr>
      <w:r w:rsidRPr="003D61A7">
        <w:rPr>
          <w:sz w:val="24"/>
          <w:szCs w:val="24"/>
        </w:rPr>
        <w:t xml:space="preserve">il </w:t>
      </w:r>
      <w:r w:rsidRPr="003D61A7">
        <w:rPr>
          <w:rFonts w:cs="Calibri"/>
          <w:b/>
          <w:bCs/>
          <w:sz w:val="24"/>
          <w:szCs w:val="24"/>
        </w:rPr>
        <w:t>rafforzamento della capacità amministrativa</w:t>
      </w:r>
      <w:r w:rsidRPr="003D61A7">
        <w:rPr>
          <w:rFonts w:cs="Calibri"/>
          <w:sz w:val="24"/>
          <w:szCs w:val="24"/>
        </w:rPr>
        <w:t>, con l’assunzione di personale specializzato</w:t>
      </w:r>
      <w:r>
        <w:rPr>
          <w:rFonts w:cs="Calibri"/>
          <w:sz w:val="24"/>
          <w:szCs w:val="24"/>
        </w:rPr>
        <w:t xml:space="preserve"> nelle SUA provinciali e metropolitane</w:t>
      </w:r>
      <w:r w:rsidRPr="003D61A7">
        <w:rPr>
          <w:rFonts w:cs="Calibri"/>
          <w:b/>
          <w:bCs/>
          <w:sz w:val="24"/>
          <w:szCs w:val="24"/>
        </w:rPr>
        <w:t>;</w:t>
      </w:r>
    </w:p>
    <w:p w14:paraId="435803B5" w14:textId="77777777" w:rsidR="00AB3483" w:rsidRPr="003D61A7" w:rsidRDefault="00AB3483" w:rsidP="00AB3483">
      <w:pPr>
        <w:pStyle w:val="Paragrafoelenco"/>
        <w:spacing w:before="0" w:after="0" w:line="240" w:lineRule="auto"/>
        <w:jc w:val="both"/>
        <w:rPr>
          <w:rFonts w:cs="Calibri"/>
          <w:b/>
          <w:bCs/>
          <w:sz w:val="24"/>
          <w:szCs w:val="24"/>
        </w:rPr>
      </w:pPr>
    </w:p>
    <w:p w14:paraId="526EF859" w14:textId="77777777" w:rsidR="00096B12" w:rsidRPr="00AB3483" w:rsidRDefault="00096B12" w:rsidP="00096B12">
      <w:pPr>
        <w:pStyle w:val="Paragrafoelenco"/>
        <w:numPr>
          <w:ilvl w:val="0"/>
          <w:numId w:val="9"/>
        </w:numPr>
        <w:spacing w:before="0" w:after="0" w:line="240" w:lineRule="auto"/>
        <w:jc w:val="both"/>
      </w:pPr>
      <w:r w:rsidRPr="00096B12">
        <w:rPr>
          <w:rFonts w:cs="Calibri"/>
          <w:sz w:val="24"/>
          <w:szCs w:val="24"/>
        </w:rPr>
        <w:t xml:space="preserve">la </w:t>
      </w:r>
      <w:r w:rsidRPr="00096B12">
        <w:rPr>
          <w:rFonts w:cs="Calibri"/>
          <w:b/>
          <w:bCs/>
          <w:sz w:val="24"/>
          <w:szCs w:val="24"/>
        </w:rPr>
        <w:t xml:space="preserve">formazione del personale </w:t>
      </w:r>
      <w:r w:rsidRPr="00096B12">
        <w:rPr>
          <w:rFonts w:cs="Calibri"/>
          <w:sz w:val="24"/>
          <w:szCs w:val="24"/>
        </w:rPr>
        <w:t>che opera in queste strutture;</w:t>
      </w:r>
    </w:p>
    <w:p w14:paraId="34CE0B10" w14:textId="77777777" w:rsidR="00AB3483" w:rsidRDefault="00AB3483" w:rsidP="00AB3483">
      <w:pPr>
        <w:pStyle w:val="Paragrafoelenco"/>
      </w:pPr>
    </w:p>
    <w:p w14:paraId="063A416E" w14:textId="12F9FD5C" w:rsidR="00096B12" w:rsidRPr="00AB3483" w:rsidRDefault="00096B12" w:rsidP="00096B12">
      <w:pPr>
        <w:pStyle w:val="Paragrafoelenco"/>
        <w:numPr>
          <w:ilvl w:val="0"/>
          <w:numId w:val="9"/>
        </w:numPr>
        <w:spacing w:before="0" w:after="160" w:line="240" w:lineRule="auto"/>
        <w:jc w:val="both"/>
        <w:rPr>
          <w:sz w:val="24"/>
          <w:szCs w:val="24"/>
        </w:rPr>
      </w:pPr>
      <w:r w:rsidRPr="00096B12">
        <w:rPr>
          <w:rFonts w:cs="Calibri"/>
          <w:sz w:val="24"/>
          <w:szCs w:val="24"/>
        </w:rPr>
        <w:t xml:space="preserve">il completamento della </w:t>
      </w:r>
      <w:r w:rsidRPr="00096B12">
        <w:rPr>
          <w:rFonts w:cs="Calibri"/>
          <w:b/>
          <w:bCs/>
          <w:sz w:val="24"/>
          <w:szCs w:val="24"/>
        </w:rPr>
        <w:t>digitalizzazione delle procedure di gara</w:t>
      </w:r>
      <w:r w:rsidRPr="00096B12">
        <w:rPr>
          <w:rFonts w:cs="Calibri"/>
          <w:sz w:val="24"/>
          <w:szCs w:val="24"/>
        </w:rPr>
        <w:t>, con lo sviluppo di piattaforme aggiornate a disposizione delle stazioni appaltanti</w:t>
      </w:r>
      <w:r w:rsidR="00AB3483">
        <w:rPr>
          <w:rFonts w:cs="Calibri"/>
          <w:sz w:val="24"/>
          <w:szCs w:val="24"/>
        </w:rPr>
        <w:t>;</w:t>
      </w:r>
    </w:p>
    <w:p w14:paraId="519C7983" w14:textId="77777777" w:rsidR="00AB3483" w:rsidRPr="00AB3483" w:rsidRDefault="00AB3483" w:rsidP="00AB3483">
      <w:pPr>
        <w:pStyle w:val="Paragrafoelenco"/>
        <w:rPr>
          <w:sz w:val="24"/>
          <w:szCs w:val="24"/>
        </w:rPr>
      </w:pPr>
    </w:p>
    <w:p w14:paraId="775A6834" w14:textId="08A355FA" w:rsidR="0071285C" w:rsidRPr="002077DF" w:rsidRDefault="0071285C" w:rsidP="00096B12">
      <w:pPr>
        <w:pStyle w:val="Paragrafoelenco"/>
        <w:numPr>
          <w:ilvl w:val="0"/>
          <w:numId w:val="9"/>
        </w:numPr>
        <w:spacing w:before="0" w:after="160" w:line="240" w:lineRule="auto"/>
        <w:jc w:val="both"/>
        <w:rPr>
          <w:color w:val="000000" w:themeColor="text1"/>
          <w:sz w:val="24"/>
          <w:szCs w:val="24"/>
        </w:rPr>
      </w:pPr>
      <w:r w:rsidRPr="008B5A35">
        <w:rPr>
          <w:rFonts w:cs="Calibri"/>
          <w:b/>
          <w:bCs/>
          <w:color w:val="000000" w:themeColor="text1"/>
          <w:sz w:val="24"/>
          <w:szCs w:val="24"/>
        </w:rPr>
        <w:t>supporto ai Comuni di minore dimensione</w:t>
      </w:r>
      <w:r w:rsidRPr="002077DF">
        <w:rPr>
          <w:rFonts w:cs="Calibri"/>
          <w:color w:val="000000" w:themeColor="text1"/>
          <w:sz w:val="24"/>
          <w:szCs w:val="24"/>
        </w:rPr>
        <w:t xml:space="preserve"> nel contesto della più ampia funzione fondamentale di assistenza tecnica e amministrativa. </w:t>
      </w:r>
    </w:p>
    <w:p w14:paraId="1D527119" w14:textId="77777777" w:rsidR="006718DA" w:rsidRPr="0071285C" w:rsidRDefault="006718DA" w:rsidP="0048659F">
      <w:pPr>
        <w:spacing w:before="0" w:after="160" w:line="240" w:lineRule="auto"/>
        <w:jc w:val="both"/>
        <w:rPr>
          <w:color w:val="FF0000"/>
          <w:sz w:val="24"/>
          <w:szCs w:val="24"/>
        </w:rPr>
      </w:pPr>
    </w:p>
    <w:p w14:paraId="6F3DDB1D" w14:textId="6FF0E6CD" w:rsidR="0048659F" w:rsidRPr="006718DA" w:rsidRDefault="000E27D2" w:rsidP="006718DA">
      <w:pPr>
        <w:pStyle w:val="Paragrafoelenco"/>
        <w:numPr>
          <w:ilvl w:val="0"/>
          <w:numId w:val="10"/>
        </w:numPr>
        <w:spacing w:before="0" w:after="160" w:line="240" w:lineRule="auto"/>
        <w:jc w:val="both"/>
        <w:rPr>
          <w:b/>
          <w:bCs/>
          <w:sz w:val="24"/>
          <w:szCs w:val="24"/>
        </w:rPr>
      </w:pPr>
      <w:proofErr w:type="gramStart"/>
      <w:r>
        <w:rPr>
          <w:b/>
          <w:bCs/>
          <w:sz w:val="24"/>
          <w:szCs w:val="24"/>
        </w:rPr>
        <w:t>Il trend</w:t>
      </w:r>
      <w:proofErr w:type="gramEnd"/>
      <w:r>
        <w:rPr>
          <w:b/>
          <w:bCs/>
          <w:sz w:val="24"/>
          <w:szCs w:val="24"/>
        </w:rPr>
        <w:t xml:space="preserve"> di incremento della Spesa in conto capitale delle Province e di contrazione del debito</w:t>
      </w:r>
    </w:p>
    <w:p w14:paraId="6C56F0C4" w14:textId="77777777" w:rsidR="00590BE4" w:rsidRPr="00590BE4" w:rsidRDefault="00590BE4" w:rsidP="00AB3483">
      <w:pPr>
        <w:spacing w:beforeAutospacing="1" w:after="100" w:afterAutospacing="1" w:line="240" w:lineRule="auto"/>
        <w:jc w:val="both"/>
        <w:rPr>
          <w:sz w:val="24"/>
          <w:szCs w:val="24"/>
        </w:rPr>
      </w:pPr>
      <w:r w:rsidRPr="00590BE4">
        <w:rPr>
          <w:sz w:val="24"/>
          <w:szCs w:val="24"/>
        </w:rPr>
        <w:t xml:space="preserve">Per sottolineare il contributo che il livello di governo provinciale ha dato e può ancora dare al sistema Paese, ancor più se messo nelle condizioni ottimali per esprimere le proprie potenzialità, basti considerare la  dinamica degli investimenti: le Province sono riuscite negli ultimi anni a consolidare e realizzare, nonostante le difficoltà affrontate a valle della riforma del 2014 e della conseguente riduzione delle entrate proprie, un ruolo centrale per il la realizzazione e il coordinamento degli interventi infrastrutturali dei territori. </w:t>
      </w:r>
    </w:p>
    <w:p w14:paraId="5E5F77CD" w14:textId="73751C79" w:rsidR="00590BE4" w:rsidRPr="00590BE4" w:rsidRDefault="00590BE4" w:rsidP="00AB3483">
      <w:pPr>
        <w:spacing w:beforeAutospacing="1" w:after="100" w:afterAutospacing="1" w:line="240" w:lineRule="auto"/>
        <w:jc w:val="both"/>
        <w:rPr>
          <w:sz w:val="24"/>
          <w:szCs w:val="24"/>
        </w:rPr>
      </w:pPr>
      <w:r w:rsidRPr="00590BE4">
        <w:rPr>
          <w:sz w:val="24"/>
          <w:szCs w:val="24"/>
        </w:rPr>
        <w:t xml:space="preserve">Sebbene ancora si sia lontani dall’equilibrio di risorse, e dalla garanzia di copertura integrale delle funzioni fondamentali esercitate, le Province non hanno mai perso la vocazione di ente di sviluppo del territorio, focalizzando la propria attività di </w:t>
      </w:r>
      <w:r w:rsidR="00586372" w:rsidRPr="002077DF">
        <w:rPr>
          <w:color w:val="000000" w:themeColor="text1"/>
          <w:sz w:val="24"/>
          <w:szCs w:val="24"/>
        </w:rPr>
        <w:t xml:space="preserve">investimento </w:t>
      </w:r>
      <w:r w:rsidRPr="00590BE4">
        <w:rPr>
          <w:sz w:val="24"/>
          <w:szCs w:val="24"/>
        </w:rPr>
        <w:t>sull’edilizia scolastica e sulla rete viaria.</w:t>
      </w:r>
    </w:p>
    <w:p w14:paraId="1B337258" w14:textId="77777777" w:rsidR="00AB3483" w:rsidRDefault="00AB3483" w:rsidP="00AB3483">
      <w:pPr>
        <w:jc w:val="both"/>
        <w:rPr>
          <w:sz w:val="24"/>
          <w:szCs w:val="24"/>
        </w:rPr>
      </w:pPr>
    </w:p>
    <w:p w14:paraId="342CAD64" w14:textId="77777777" w:rsidR="00AB3483" w:rsidRDefault="00AB3483" w:rsidP="00AB3483">
      <w:pPr>
        <w:jc w:val="both"/>
        <w:rPr>
          <w:sz w:val="24"/>
          <w:szCs w:val="24"/>
        </w:rPr>
      </w:pPr>
    </w:p>
    <w:p w14:paraId="1B0E9E50" w14:textId="77777777" w:rsidR="00AB3483" w:rsidRDefault="00AB3483" w:rsidP="00AB3483">
      <w:pPr>
        <w:jc w:val="both"/>
        <w:rPr>
          <w:sz w:val="24"/>
          <w:szCs w:val="24"/>
        </w:rPr>
      </w:pPr>
    </w:p>
    <w:p w14:paraId="59E598C2" w14:textId="3104AA86" w:rsidR="00590BE4" w:rsidRDefault="00590BE4" w:rsidP="00AB3483">
      <w:pPr>
        <w:spacing w:beforeAutospacing="1" w:after="100" w:afterAutospacing="1" w:line="240" w:lineRule="auto"/>
        <w:jc w:val="both"/>
        <w:rPr>
          <w:sz w:val="24"/>
          <w:szCs w:val="24"/>
        </w:rPr>
      </w:pPr>
      <w:r w:rsidRPr="00590BE4">
        <w:rPr>
          <w:sz w:val="24"/>
          <w:szCs w:val="24"/>
        </w:rPr>
        <w:t>L’apprezzamento della performance è visibile non solo nel quinquennio 2019/2023, complice anche il PNRR</w:t>
      </w:r>
      <w:r>
        <w:rPr>
          <w:sz w:val="24"/>
          <w:szCs w:val="24"/>
        </w:rPr>
        <w:t xml:space="preserve"> (vedi tab 1)</w:t>
      </w:r>
      <w:r w:rsidRPr="00590BE4">
        <w:rPr>
          <w:sz w:val="24"/>
          <w:szCs w:val="24"/>
        </w:rPr>
        <w:t xml:space="preserve"> ma si mantiene elevata anche nel raffronto dei primi mesi del </w:t>
      </w:r>
      <w:proofErr w:type="gramStart"/>
      <w:r w:rsidRPr="00590BE4">
        <w:rPr>
          <w:sz w:val="24"/>
          <w:szCs w:val="24"/>
        </w:rPr>
        <w:t xml:space="preserve">2024 </w:t>
      </w:r>
      <w:r w:rsidR="00586372">
        <w:rPr>
          <w:sz w:val="24"/>
          <w:szCs w:val="24"/>
        </w:rPr>
        <w:t>,appena</w:t>
      </w:r>
      <w:proofErr w:type="gramEnd"/>
      <w:r w:rsidR="00586372">
        <w:rPr>
          <w:sz w:val="24"/>
          <w:szCs w:val="24"/>
        </w:rPr>
        <w:t xml:space="preserve"> trascorsi, </w:t>
      </w:r>
      <w:r w:rsidRPr="00590BE4">
        <w:rPr>
          <w:sz w:val="24"/>
          <w:szCs w:val="24"/>
        </w:rPr>
        <w:t>con lo stesso periodo del 2023</w:t>
      </w:r>
      <w:r>
        <w:rPr>
          <w:sz w:val="24"/>
          <w:szCs w:val="24"/>
        </w:rPr>
        <w:t xml:space="preserve"> (Vedi tab 2)</w:t>
      </w:r>
      <w:r w:rsidRPr="00590BE4">
        <w:rPr>
          <w:sz w:val="24"/>
          <w:szCs w:val="24"/>
        </w:rPr>
        <w:t xml:space="preserve">. </w:t>
      </w:r>
    </w:p>
    <w:p w14:paraId="642BD964" w14:textId="0773214D" w:rsidR="00590BE4" w:rsidRDefault="00590BE4" w:rsidP="00590BE4">
      <w:pPr>
        <w:rPr>
          <w:sz w:val="24"/>
          <w:szCs w:val="24"/>
        </w:rPr>
      </w:pPr>
    </w:p>
    <w:tbl>
      <w:tblPr>
        <w:tblW w:w="8003" w:type="dxa"/>
        <w:jc w:val="center"/>
        <w:tblCellMar>
          <w:left w:w="70" w:type="dxa"/>
          <w:right w:w="70" w:type="dxa"/>
        </w:tblCellMar>
        <w:tblLook w:val="04A0" w:firstRow="1" w:lastRow="0" w:firstColumn="1" w:lastColumn="0" w:noHBand="0" w:noVBand="1"/>
      </w:tblPr>
      <w:tblGrid>
        <w:gridCol w:w="2552"/>
        <w:gridCol w:w="1564"/>
        <w:gridCol w:w="1747"/>
        <w:gridCol w:w="2140"/>
      </w:tblGrid>
      <w:tr w:rsidR="00590BE4" w:rsidRPr="00590BE4" w14:paraId="7E193687" w14:textId="77777777" w:rsidTr="00FF0DBD">
        <w:trPr>
          <w:trHeight w:val="255"/>
          <w:jc w:val="center"/>
        </w:trPr>
        <w:tc>
          <w:tcPr>
            <w:tcW w:w="2552" w:type="dxa"/>
            <w:tcBorders>
              <w:bottom w:val="single" w:sz="4" w:space="0" w:color="auto"/>
              <w:right w:val="single" w:sz="4" w:space="0" w:color="auto"/>
            </w:tcBorders>
            <w:shd w:val="clear" w:color="auto" w:fill="auto"/>
            <w:noWrap/>
            <w:vAlign w:val="bottom"/>
          </w:tcPr>
          <w:p w14:paraId="03CC7C16" w14:textId="5B0A02FB" w:rsidR="00590BE4" w:rsidRPr="00590BE4" w:rsidRDefault="00590BE4" w:rsidP="00FF0DBD">
            <w:pPr>
              <w:spacing w:after="0" w:line="240" w:lineRule="auto"/>
              <w:rPr>
                <w:rFonts w:eastAsia="Times New Roman" w:cs="Arial"/>
                <w:sz w:val="16"/>
                <w:szCs w:val="16"/>
                <w:lang w:eastAsia="it-IT"/>
              </w:rPr>
            </w:pPr>
            <w:r w:rsidRPr="00590BE4">
              <w:rPr>
                <w:rFonts w:eastAsia="Times New Roman" w:cs="Arial"/>
                <w:sz w:val="16"/>
                <w:szCs w:val="16"/>
                <w:lang w:eastAsia="it-IT"/>
              </w:rPr>
              <w:t>TAB 1</w:t>
            </w:r>
          </w:p>
        </w:tc>
        <w:tc>
          <w:tcPr>
            <w:tcW w:w="1564" w:type="dxa"/>
            <w:tcBorders>
              <w:top w:val="single" w:sz="4" w:space="0" w:color="auto"/>
              <w:left w:val="single" w:sz="4" w:space="0" w:color="auto"/>
              <w:bottom w:val="single" w:sz="4" w:space="0" w:color="auto"/>
              <w:right w:val="single" w:sz="4" w:space="0" w:color="auto"/>
            </w:tcBorders>
            <w:shd w:val="clear" w:color="auto" w:fill="C2E1F6" w:themeFill="text2" w:themeFillTint="33"/>
            <w:noWrap/>
            <w:vAlign w:val="bottom"/>
            <w:hideMark/>
          </w:tcPr>
          <w:p w14:paraId="56C1003A" w14:textId="77777777" w:rsidR="00590BE4" w:rsidRPr="00B457B5" w:rsidRDefault="00590BE4" w:rsidP="0071285C">
            <w:pPr>
              <w:spacing w:after="0" w:line="240" w:lineRule="auto"/>
              <w:jc w:val="center"/>
              <w:rPr>
                <w:rFonts w:eastAsia="Times New Roman" w:cs="Arial"/>
                <w:b/>
                <w:bCs/>
                <w:lang w:eastAsia="it-IT"/>
              </w:rPr>
            </w:pPr>
            <w:r w:rsidRPr="00B457B5">
              <w:rPr>
                <w:rFonts w:eastAsia="Times New Roman" w:cs="Arial"/>
                <w:b/>
                <w:bCs/>
                <w:lang w:eastAsia="it-IT"/>
              </w:rPr>
              <w:t xml:space="preserve">anno 2019 </w:t>
            </w:r>
          </w:p>
        </w:tc>
        <w:tc>
          <w:tcPr>
            <w:tcW w:w="1747" w:type="dxa"/>
            <w:tcBorders>
              <w:top w:val="single" w:sz="4" w:space="0" w:color="auto"/>
              <w:left w:val="nil"/>
              <w:bottom w:val="single" w:sz="4" w:space="0" w:color="auto"/>
              <w:right w:val="single" w:sz="4" w:space="0" w:color="auto"/>
            </w:tcBorders>
            <w:shd w:val="clear" w:color="auto" w:fill="C2E1F6" w:themeFill="text2" w:themeFillTint="33"/>
            <w:noWrap/>
            <w:vAlign w:val="bottom"/>
            <w:hideMark/>
          </w:tcPr>
          <w:p w14:paraId="45329FAA" w14:textId="77777777" w:rsidR="00590BE4" w:rsidRPr="00B457B5" w:rsidRDefault="00590BE4" w:rsidP="0071285C">
            <w:pPr>
              <w:spacing w:after="0" w:line="240" w:lineRule="auto"/>
              <w:jc w:val="center"/>
              <w:rPr>
                <w:rFonts w:eastAsia="Times New Roman" w:cs="Arial"/>
                <w:b/>
                <w:bCs/>
                <w:lang w:eastAsia="it-IT"/>
              </w:rPr>
            </w:pPr>
            <w:r w:rsidRPr="00B457B5">
              <w:rPr>
                <w:rFonts w:eastAsia="Times New Roman" w:cs="Arial"/>
                <w:b/>
                <w:bCs/>
                <w:lang w:eastAsia="it-IT"/>
              </w:rPr>
              <w:t>anno 2023</w:t>
            </w:r>
          </w:p>
        </w:tc>
        <w:tc>
          <w:tcPr>
            <w:tcW w:w="2140" w:type="dxa"/>
            <w:tcBorders>
              <w:top w:val="single" w:sz="4" w:space="0" w:color="auto"/>
              <w:left w:val="nil"/>
              <w:bottom w:val="single" w:sz="4" w:space="0" w:color="auto"/>
              <w:right w:val="single" w:sz="4" w:space="0" w:color="auto"/>
            </w:tcBorders>
            <w:shd w:val="clear" w:color="auto" w:fill="C2E1F6" w:themeFill="text2" w:themeFillTint="33"/>
            <w:noWrap/>
            <w:vAlign w:val="center"/>
            <w:hideMark/>
          </w:tcPr>
          <w:p w14:paraId="42241A7E" w14:textId="77777777" w:rsidR="00590BE4" w:rsidRPr="00590BE4" w:rsidRDefault="00590BE4" w:rsidP="0071285C">
            <w:pPr>
              <w:spacing w:after="0" w:line="240" w:lineRule="auto"/>
              <w:jc w:val="center"/>
              <w:rPr>
                <w:rFonts w:eastAsia="Times New Roman" w:cs="Arial"/>
                <w:b/>
                <w:bCs/>
                <w:lang w:eastAsia="it-IT"/>
              </w:rPr>
            </w:pPr>
            <w:r w:rsidRPr="00590BE4">
              <w:rPr>
                <w:rFonts w:eastAsia="Times New Roman" w:cs="Arial"/>
                <w:b/>
                <w:bCs/>
                <w:lang w:eastAsia="it-IT"/>
              </w:rPr>
              <w:t>variazione %</w:t>
            </w:r>
          </w:p>
        </w:tc>
      </w:tr>
      <w:tr w:rsidR="00590BE4" w:rsidRPr="00590BE4" w14:paraId="20B5E580" w14:textId="77777777" w:rsidTr="00FF0DBD">
        <w:trPr>
          <w:trHeight w:val="255"/>
          <w:jc w:val="center"/>
        </w:trPr>
        <w:tc>
          <w:tcPr>
            <w:tcW w:w="255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84DC252" w14:textId="77777777" w:rsidR="00590BE4" w:rsidRPr="00590BE4" w:rsidRDefault="00590BE4" w:rsidP="0071285C">
            <w:pPr>
              <w:spacing w:after="0" w:line="240" w:lineRule="auto"/>
              <w:rPr>
                <w:rFonts w:eastAsia="Times New Roman" w:cs="Arial"/>
                <w:b/>
                <w:bCs/>
                <w:lang w:eastAsia="it-IT"/>
              </w:rPr>
            </w:pPr>
            <w:r w:rsidRPr="00590BE4">
              <w:rPr>
                <w:rFonts w:eastAsia="Times New Roman" w:cs="Arial"/>
                <w:b/>
                <w:bCs/>
                <w:lang w:eastAsia="it-IT"/>
              </w:rPr>
              <w:t>Spesa Conto Capitale</w:t>
            </w:r>
          </w:p>
        </w:tc>
        <w:tc>
          <w:tcPr>
            <w:tcW w:w="1564" w:type="dxa"/>
            <w:tcBorders>
              <w:top w:val="nil"/>
              <w:left w:val="nil"/>
              <w:bottom w:val="single" w:sz="4" w:space="0" w:color="auto"/>
              <w:right w:val="single" w:sz="4" w:space="0" w:color="auto"/>
            </w:tcBorders>
            <w:shd w:val="clear" w:color="auto" w:fill="auto"/>
            <w:noWrap/>
            <w:vAlign w:val="bottom"/>
            <w:hideMark/>
          </w:tcPr>
          <w:p w14:paraId="4A247F35" w14:textId="77777777" w:rsidR="00590BE4" w:rsidRPr="00B457B5" w:rsidRDefault="00590BE4" w:rsidP="0071285C">
            <w:pPr>
              <w:spacing w:after="0" w:line="240" w:lineRule="auto"/>
              <w:jc w:val="center"/>
              <w:rPr>
                <w:rFonts w:eastAsia="Times New Roman" w:cs="Arial"/>
                <w:lang w:eastAsia="it-IT"/>
              </w:rPr>
            </w:pPr>
            <w:r w:rsidRPr="00B457B5">
              <w:rPr>
                <w:rFonts w:eastAsia="Times New Roman" w:cs="Arial"/>
                <w:lang w:eastAsia="it-IT"/>
              </w:rPr>
              <w:t>890.810.538</w:t>
            </w:r>
          </w:p>
        </w:tc>
        <w:tc>
          <w:tcPr>
            <w:tcW w:w="1747" w:type="dxa"/>
            <w:tcBorders>
              <w:top w:val="nil"/>
              <w:left w:val="nil"/>
              <w:bottom w:val="single" w:sz="4" w:space="0" w:color="auto"/>
              <w:right w:val="single" w:sz="4" w:space="0" w:color="auto"/>
            </w:tcBorders>
            <w:shd w:val="clear" w:color="auto" w:fill="auto"/>
            <w:noWrap/>
            <w:vAlign w:val="bottom"/>
            <w:hideMark/>
          </w:tcPr>
          <w:p w14:paraId="7530EFAA" w14:textId="77777777" w:rsidR="00590BE4" w:rsidRPr="00B457B5" w:rsidRDefault="00590BE4" w:rsidP="0071285C">
            <w:pPr>
              <w:spacing w:after="0" w:line="240" w:lineRule="auto"/>
              <w:jc w:val="center"/>
              <w:rPr>
                <w:rFonts w:eastAsia="Times New Roman" w:cs="Arial"/>
                <w:lang w:eastAsia="it-IT"/>
              </w:rPr>
            </w:pPr>
            <w:r w:rsidRPr="00B457B5">
              <w:rPr>
                <w:rFonts w:eastAsia="Times New Roman" w:cs="Arial"/>
                <w:lang w:eastAsia="it-IT"/>
              </w:rPr>
              <w:t>1.698.945.994</w:t>
            </w:r>
          </w:p>
        </w:tc>
        <w:tc>
          <w:tcPr>
            <w:tcW w:w="2140" w:type="dxa"/>
            <w:tcBorders>
              <w:top w:val="nil"/>
              <w:left w:val="nil"/>
              <w:bottom w:val="single" w:sz="4" w:space="0" w:color="auto"/>
              <w:right w:val="single" w:sz="4" w:space="0" w:color="auto"/>
            </w:tcBorders>
            <w:shd w:val="clear" w:color="auto" w:fill="auto"/>
            <w:noWrap/>
            <w:vAlign w:val="center"/>
            <w:hideMark/>
          </w:tcPr>
          <w:p w14:paraId="71673DAC" w14:textId="77777777" w:rsidR="00590BE4" w:rsidRPr="00590BE4" w:rsidRDefault="00590BE4" w:rsidP="0071285C">
            <w:pPr>
              <w:spacing w:after="0" w:line="240" w:lineRule="auto"/>
              <w:jc w:val="center"/>
              <w:rPr>
                <w:rFonts w:eastAsia="Times New Roman" w:cs="Arial"/>
                <w:b/>
                <w:bCs/>
                <w:lang w:eastAsia="it-IT"/>
              </w:rPr>
            </w:pPr>
            <w:r>
              <w:rPr>
                <w:rFonts w:eastAsia="Times New Roman" w:cs="Arial"/>
                <w:b/>
                <w:bCs/>
                <w:lang w:eastAsia="it-IT"/>
              </w:rPr>
              <w:t>+</w:t>
            </w:r>
            <w:r w:rsidRPr="00590BE4">
              <w:rPr>
                <w:rFonts w:eastAsia="Times New Roman" w:cs="Arial"/>
                <w:b/>
                <w:bCs/>
                <w:lang w:eastAsia="it-IT"/>
              </w:rPr>
              <w:t>9</w:t>
            </w:r>
            <w:r>
              <w:rPr>
                <w:rFonts w:eastAsia="Times New Roman" w:cs="Arial"/>
                <w:b/>
                <w:bCs/>
                <w:lang w:eastAsia="it-IT"/>
              </w:rPr>
              <w:t>1%</w:t>
            </w:r>
          </w:p>
        </w:tc>
      </w:tr>
    </w:tbl>
    <w:p w14:paraId="13CF724A" w14:textId="77777777" w:rsidR="00590BE4" w:rsidRDefault="00590BE4" w:rsidP="00590BE4"/>
    <w:tbl>
      <w:tblPr>
        <w:tblW w:w="8003" w:type="dxa"/>
        <w:jc w:val="center"/>
        <w:tblCellMar>
          <w:left w:w="70" w:type="dxa"/>
          <w:right w:w="70" w:type="dxa"/>
        </w:tblCellMar>
        <w:tblLook w:val="04A0" w:firstRow="1" w:lastRow="0" w:firstColumn="1" w:lastColumn="0" w:noHBand="0" w:noVBand="1"/>
      </w:tblPr>
      <w:tblGrid>
        <w:gridCol w:w="2552"/>
        <w:gridCol w:w="1564"/>
        <w:gridCol w:w="1747"/>
        <w:gridCol w:w="2140"/>
      </w:tblGrid>
      <w:tr w:rsidR="00590BE4" w:rsidRPr="007B1C21" w14:paraId="61FCF296" w14:textId="77777777" w:rsidTr="00FF0DBD">
        <w:trPr>
          <w:trHeight w:val="255"/>
          <w:jc w:val="center"/>
        </w:trPr>
        <w:tc>
          <w:tcPr>
            <w:tcW w:w="2552" w:type="dxa"/>
            <w:tcBorders>
              <w:bottom w:val="single" w:sz="4" w:space="0" w:color="auto"/>
              <w:right w:val="single" w:sz="4" w:space="0" w:color="auto"/>
            </w:tcBorders>
            <w:shd w:val="clear" w:color="auto" w:fill="auto"/>
            <w:noWrap/>
            <w:vAlign w:val="center"/>
            <w:hideMark/>
          </w:tcPr>
          <w:p w14:paraId="5822395F" w14:textId="295C753A" w:rsidR="00590BE4" w:rsidRPr="00590BE4" w:rsidRDefault="00590BE4" w:rsidP="00590BE4">
            <w:pPr>
              <w:spacing w:after="0" w:line="240" w:lineRule="auto"/>
              <w:rPr>
                <w:rFonts w:eastAsia="Times New Roman" w:cs="Arial"/>
                <w:sz w:val="16"/>
                <w:szCs w:val="16"/>
                <w:lang w:eastAsia="it-IT"/>
              </w:rPr>
            </w:pPr>
            <w:r w:rsidRPr="00590BE4">
              <w:rPr>
                <w:rFonts w:eastAsia="Times New Roman" w:cs="Arial"/>
                <w:sz w:val="16"/>
                <w:szCs w:val="16"/>
                <w:lang w:eastAsia="it-IT"/>
              </w:rPr>
              <w:t>TAB 2</w:t>
            </w:r>
          </w:p>
        </w:tc>
        <w:tc>
          <w:tcPr>
            <w:tcW w:w="1564" w:type="dxa"/>
            <w:tcBorders>
              <w:top w:val="single" w:sz="4" w:space="0" w:color="auto"/>
              <w:left w:val="single" w:sz="4" w:space="0" w:color="auto"/>
              <w:bottom w:val="single" w:sz="4" w:space="0" w:color="auto"/>
              <w:right w:val="single" w:sz="4" w:space="0" w:color="auto"/>
            </w:tcBorders>
            <w:shd w:val="clear" w:color="auto" w:fill="86C4EE" w:themeFill="text2" w:themeFillTint="66"/>
            <w:noWrap/>
            <w:vAlign w:val="center"/>
            <w:hideMark/>
          </w:tcPr>
          <w:p w14:paraId="33FFC4C2" w14:textId="77777777" w:rsidR="00590BE4" w:rsidRPr="00590BE4" w:rsidRDefault="00590BE4" w:rsidP="0071285C">
            <w:pPr>
              <w:spacing w:after="0" w:line="240" w:lineRule="auto"/>
              <w:jc w:val="center"/>
              <w:rPr>
                <w:rFonts w:eastAsia="Times New Roman" w:cs="Arial"/>
                <w:b/>
                <w:bCs/>
                <w:lang w:eastAsia="it-IT"/>
              </w:rPr>
            </w:pPr>
            <w:proofErr w:type="gramStart"/>
            <w:r w:rsidRPr="00590BE4">
              <w:rPr>
                <w:rFonts w:eastAsia="Times New Roman" w:cs="Arial"/>
                <w:b/>
                <w:bCs/>
                <w:lang w:eastAsia="it-IT"/>
              </w:rPr>
              <w:t>1^</w:t>
            </w:r>
            <w:proofErr w:type="gramEnd"/>
            <w:r w:rsidRPr="00590BE4">
              <w:rPr>
                <w:rFonts w:eastAsia="Times New Roman" w:cs="Arial"/>
                <w:b/>
                <w:bCs/>
                <w:lang w:eastAsia="it-IT"/>
              </w:rPr>
              <w:t xml:space="preserve"> trimestre 2023 </w:t>
            </w:r>
          </w:p>
        </w:tc>
        <w:tc>
          <w:tcPr>
            <w:tcW w:w="1747" w:type="dxa"/>
            <w:tcBorders>
              <w:top w:val="single" w:sz="4" w:space="0" w:color="auto"/>
              <w:left w:val="nil"/>
              <w:bottom w:val="single" w:sz="4" w:space="0" w:color="auto"/>
              <w:right w:val="single" w:sz="4" w:space="0" w:color="auto"/>
            </w:tcBorders>
            <w:shd w:val="clear" w:color="auto" w:fill="86C4EE" w:themeFill="text2" w:themeFillTint="66"/>
            <w:noWrap/>
            <w:vAlign w:val="center"/>
            <w:hideMark/>
          </w:tcPr>
          <w:p w14:paraId="762C18BF" w14:textId="77777777" w:rsidR="00590BE4" w:rsidRPr="00590BE4" w:rsidRDefault="00590BE4" w:rsidP="0071285C">
            <w:pPr>
              <w:spacing w:after="0" w:line="240" w:lineRule="auto"/>
              <w:jc w:val="center"/>
              <w:rPr>
                <w:rFonts w:eastAsia="Times New Roman" w:cs="Arial"/>
                <w:b/>
                <w:bCs/>
                <w:lang w:eastAsia="it-IT"/>
              </w:rPr>
            </w:pPr>
            <w:proofErr w:type="gramStart"/>
            <w:r w:rsidRPr="00590BE4">
              <w:rPr>
                <w:rFonts w:eastAsia="Times New Roman" w:cs="Arial"/>
                <w:b/>
                <w:bCs/>
                <w:lang w:eastAsia="it-IT"/>
              </w:rPr>
              <w:t>1^</w:t>
            </w:r>
            <w:proofErr w:type="gramEnd"/>
            <w:r w:rsidRPr="00590BE4">
              <w:rPr>
                <w:rFonts w:eastAsia="Times New Roman" w:cs="Arial"/>
                <w:b/>
                <w:bCs/>
                <w:lang w:eastAsia="it-IT"/>
              </w:rPr>
              <w:t xml:space="preserve"> trimestre 2024</w:t>
            </w:r>
          </w:p>
        </w:tc>
        <w:tc>
          <w:tcPr>
            <w:tcW w:w="2140" w:type="dxa"/>
            <w:tcBorders>
              <w:top w:val="single" w:sz="4" w:space="0" w:color="auto"/>
              <w:left w:val="nil"/>
              <w:bottom w:val="single" w:sz="4" w:space="0" w:color="auto"/>
              <w:right w:val="single" w:sz="4" w:space="0" w:color="auto"/>
            </w:tcBorders>
            <w:shd w:val="clear" w:color="auto" w:fill="86C4EE" w:themeFill="text2" w:themeFillTint="66"/>
            <w:noWrap/>
            <w:vAlign w:val="center"/>
            <w:hideMark/>
          </w:tcPr>
          <w:p w14:paraId="14BE422A" w14:textId="77777777" w:rsidR="00590BE4" w:rsidRPr="00590BE4" w:rsidRDefault="00590BE4" w:rsidP="0071285C">
            <w:pPr>
              <w:spacing w:after="0" w:line="240" w:lineRule="auto"/>
              <w:jc w:val="center"/>
              <w:rPr>
                <w:rFonts w:eastAsia="Times New Roman" w:cs="Arial"/>
                <w:b/>
                <w:bCs/>
                <w:lang w:eastAsia="it-IT"/>
              </w:rPr>
            </w:pPr>
            <w:r w:rsidRPr="00590BE4">
              <w:rPr>
                <w:rFonts w:eastAsia="Times New Roman" w:cs="Arial"/>
                <w:b/>
                <w:bCs/>
                <w:lang w:eastAsia="it-IT"/>
              </w:rPr>
              <w:t>variazione %</w:t>
            </w:r>
          </w:p>
        </w:tc>
      </w:tr>
      <w:tr w:rsidR="00590BE4" w:rsidRPr="007B1C21" w14:paraId="76449C76" w14:textId="77777777" w:rsidTr="00FF0DBD">
        <w:trPr>
          <w:trHeight w:val="255"/>
          <w:jc w:val="center"/>
        </w:trPr>
        <w:tc>
          <w:tcPr>
            <w:tcW w:w="255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FF36093" w14:textId="7344C9FC" w:rsidR="00590BE4" w:rsidRPr="00590BE4" w:rsidRDefault="00590BE4" w:rsidP="0071285C">
            <w:pPr>
              <w:spacing w:after="0" w:line="240" w:lineRule="auto"/>
              <w:jc w:val="center"/>
              <w:rPr>
                <w:rFonts w:eastAsia="Times New Roman" w:cs="Arial"/>
                <w:b/>
                <w:bCs/>
                <w:lang w:eastAsia="it-IT"/>
              </w:rPr>
            </w:pPr>
            <w:r w:rsidRPr="00590BE4">
              <w:rPr>
                <w:rFonts w:eastAsia="Times New Roman" w:cs="Arial"/>
                <w:b/>
                <w:bCs/>
                <w:lang w:eastAsia="it-IT"/>
              </w:rPr>
              <w:t>Spesa Conto Capitale</w:t>
            </w:r>
          </w:p>
        </w:tc>
        <w:tc>
          <w:tcPr>
            <w:tcW w:w="1564" w:type="dxa"/>
            <w:tcBorders>
              <w:top w:val="nil"/>
              <w:left w:val="single" w:sz="4" w:space="0" w:color="auto"/>
              <w:bottom w:val="single" w:sz="4" w:space="0" w:color="auto"/>
              <w:right w:val="single" w:sz="4" w:space="0" w:color="auto"/>
            </w:tcBorders>
            <w:shd w:val="clear" w:color="auto" w:fill="auto"/>
            <w:noWrap/>
            <w:vAlign w:val="center"/>
            <w:hideMark/>
          </w:tcPr>
          <w:p w14:paraId="76CCB972" w14:textId="268F6A12" w:rsidR="00590BE4" w:rsidRPr="00B457B5" w:rsidRDefault="00590BE4" w:rsidP="0071285C">
            <w:pPr>
              <w:spacing w:after="0" w:line="240" w:lineRule="auto"/>
              <w:jc w:val="center"/>
              <w:rPr>
                <w:rFonts w:eastAsia="Times New Roman" w:cs="Arial"/>
                <w:lang w:eastAsia="it-IT"/>
              </w:rPr>
            </w:pPr>
            <w:r w:rsidRPr="00B457B5">
              <w:rPr>
                <w:rFonts w:eastAsia="Times New Roman" w:cs="Arial"/>
                <w:lang w:eastAsia="it-IT"/>
              </w:rPr>
              <w:t>309.766.738</w:t>
            </w:r>
          </w:p>
        </w:tc>
        <w:tc>
          <w:tcPr>
            <w:tcW w:w="1747" w:type="dxa"/>
            <w:tcBorders>
              <w:top w:val="nil"/>
              <w:left w:val="nil"/>
              <w:bottom w:val="single" w:sz="4" w:space="0" w:color="auto"/>
              <w:right w:val="single" w:sz="4" w:space="0" w:color="auto"/>
            </w:tcBorders>
            <w:shd w:val="clear" w:color="auto" w:fill="auto"/>
            <w:noWrap/>
            <w:vAlign w:val="center"/>
            <w:hideMark/>
          </w:tcPr>
          <w:p w14:paraId="26F346A6" w14:textId="60BB778B" w:rsidR="00590BE4" w:rsidRPr="00B457B5" w:rsidRDefault="00590BE4" w:rsidP="0071285C">
            <w:pPr>
              <w:spacing w:after="0" w:line="240" w:lineRule="auto"/>
              <w:jc w:val="center"/>
              <w:rPr>
                <w:rFonts w:eastAsia="Times New Roman" w:cs="Arial"/>
                <w:lang w:eastAsia="it-IT"/>
              </w:rPr>
            </w:pPr>
            <w:r w:rsidRPr="00B457B5">
              <w:rPr>
                <w:rFonts w:eastAsia="Times New Roman" w:cs="Arial"/>
                <w:lang w:eastAsia="it-IT"/>
              </w:rPr>
              <w:t>478.313.381</w:t>
            </w:r>
          </w:p>
        </w:tc>
        <w:tc>
          <w:tcPr>
            <w:tcW w:w="2140" w:type="dxa"/>
            <w:tcBorders>
              <w:top w:val="nil"/>
              <w:left w:val="nil"/>
              <w:bottom w:val="single" w:sz="4" w:space="0" w:color="auto"/>
              <w:right w:val="single" w:sz="4" w:space="0" w:color="auto"/>
            </w:tcBorders>
            <w:shd w:val="clear" w:color="auto" w:fill="auto"/>
            <w:noWrap/>
            <w:vAlign w:val="center"/>
            <w:hideMark/>
          </w:tcPr>
          <w:p w14:paraId="5DEA0813" w14:textId="170D27A0" w:rsidR="00590BE4" w:rsidRPr="00590BE4" w:rsidRDefault="00590BE4" w:rsidP="0071285C">
            <w:pPr>
              <w:spacing w:after="0" w:line="240" w:lineRule="auto"/>
              <w:jc w:val="center"/>
              <w:rPr>
                <w:rFonts w:eastAsia="Times New Roman" w:cs="Arial"/>
                <w:b/>
                <w:bCs/>
                <w:lang w:eastAsia="it-IT"/>
              </w:rPr>
            </w:pPr>
            <w:r>
              <w:rPr>
                <w:rFonts w:eastAsia="Times New Roman" w:cs="Arial"/>
                <w:b/>
                <w:bCs/>
                <w:lang w:eastAsia="it-IT"/>
              </w:rPr>
              <w:t>+</w:t>
            </w:r>
            <w:r w:rsidRPr="00590BE4">
              <w:rPr>
                <w:rFonts w:eastAsia="Times New Roman" w:cs="Arial"/>
                <w:b/>
                <w:bCs/>
                <w:lang w:eastAsia="it-IT"/>
              </w:rPr>
              <w:t>54</w:t>
            </w:r>
            <w:r>
              <w:rPr>
                <w:rFonts w:eastAsia="Times New Roman" w:cs="Arial"/>
                <w:b/>
                <w:bCs/>
                <w:lang w:eastAsia="it-IT"/>
              </w:rPr>
              <w:t>%</w:t>
            </w:r>
          </w:p>
        </w:tc>
      </w:tr>
    </w:tbl>
    <w:p w14:paraId="78A1AD3D" w14:textId="77777777" w:rsidR="00590BE4" w:rsidRDefault="00590BE4" w:rsidP="00590BE4">
      <w:pPr>
        <w:pStyle w:val="Paragrafoelenco"/>
      </w:pPr>
    </w:p>
    <w:p w14:paraId="6D8004A1" w14:textId="7ED731DF" w:rsidR="00590BE4" w:rsidRPr="00590BE4" w:rsidRDefault="00590BE4" w:rsidP="00AB3483">
      <w:pPr>
        <w:spacing w:beforeAutospacing="1" w:after="100" w:afterAutospacing="1" w:line="240" w:lineRule="auto"/>
        <w:jc w:val="both"/>
        <w:rPr>
          <w:sz w:val="24"/>
          <w:szCs w:val="24"/>
        </w:rPr>
      </w:pPr>
      <w:r w:rsidRPr="00590BE4">
        <w:rPr>
          <w:sz w:val="24"/>
          <w:szCs w:val="24"/>
        </w:rPr>
        <w:t>Anche il DEF, nell’allegato Infrastrutture, ben riporta l’impegno programmatico e pluriennale del Ministero delle Infrastrutture per il finanziamento degli interventi di manutenzione straordinaria e messa in sicurezza di ponti e viadotti della rete viaria secondaria, specificando che è stimato un ulteriore fabbisogno di circa 2,4 miliardi di euro oltre a quanto già previsto in bilancio.</w:t>
      </w:r>
    </w:p>
    <w:p w14:paraId="633E7DE9" w14:textId="77777777" w:rsidR="00590BE4" w:rsidRPr="00590BE4" w:rsidRDefault="00590BE4" w:rsidP="00AB3483">
      <w:pPr>
        <w:spacing w:beforeAutospacing="1" w:after="100" w:afterAutospacing="1" w:line="240" w:lineRule="auto"/>
        <w:jc w:val="both"/>
        <w:rPr>
          <w:sz w:val="24"/>
          <w:szCs w:val="24"/>
        </w:rPr>
      </w:pPr>
      <w:r w:rsidRPr="00590BE4">
        <w:rPr>
          <w:sz w:val="24"/>
          <w:szCs w:val="24"/>
        </w:rPr>
        <w:t xml:space="preserve">Resta inteso però che un efficace azione di manutenzione del patrimonio (edilizio e viario) non può prescindere da strutture operative e da personale qualificato e adeguatamente formato. Le Province hanno necessità di rafforzare le strutture tecnico operative e per questo hanno necessità di rafforzare i loro bilanci. </w:t>
      </w:r>
    </w:p>
    <w:p w14:paraId="6F71435C" w14:textId="61865EA6" w:rsidR="00590BE4" w:rsidRPr="00590BE4" w:rsidRDefault="00590BE4" w:rsidP="00AB3483">
      <w:pPr>
        <w:spacing w:beforeAutospacing="1" w:after="100" w:afterAutospacing="1" w:line="240" w:lineRule="auto"/>
        <w:jc w:val="both"/>
        <w:rPr>
          <w:sz w:val="24"/>
          <w:szCs w:val="24"/>
        </w:rPr>
      </w:pPr>
      <w:r w:rsidRPr="00590BE4">
        <w:rPr>
          <w:sz w:val="24"/>
          <w:szCs w:val="24"/>
        </w:rPr>
        <w:t xml:space="preserve">Basti considerare il raffronto di risorse disponibili tra le </w:t>
      </w:r>
      <w:r w:rsidR="00AB3483" w:rsidRPr="00590BE4">
        <w:rPr>
          <w:sz w:val="24"/>
          <w:szCs w:val="24"/>
        </w:rPr>
        <w:t>Province (</w:t>
      </w:r>
      <w:r w:rsidRPr="00590BE4">
        <w:rPr>
          <w:sz w:val="24"/>
          <w:szCs w:val="24"/>
        </w:rPr>
        <w:t>oltre 100 mila km) e l’ANAS (27 mila km): attualmente le prime hanno disponibilità di 7 mila euro/km, la seconda di oltre 100 mila euro/km.</w:t>
      </w:r>
    </w:p>
    <w:p w14:paraId="673219F4" w14:textId="6ED24923" w:rsidR="00590BE4" w:rsidRPr="00590BE4" w:rsidRDefault="00590BE4" w:rsidP="00AB3483">
      <w:pPr>
        <w:spacing w:beforeAutospacing="1" w:after="100" w:afterAutospacing="1" w:line="240" w:lineRule="auto"/>
        <w:jc w:val="both"/>
        <w:rPr>
          <w:sz w:val="24"/>
          <w:szCs w:val="24"/>
        </w:rPr>
      </w:pPr>
      <w:r w:rsidRPr="00590BE4">
        <w:rPr>
          <w:sz w:val="24"/>
          <w:szCs w:val="24"/>
        </w:rPr>
        <w:t xml:space="preserve">Per converso, infine, l’onere del debito, in valore assoluto non rilevante rispetto al complessivo importo a carico del sistema Paese, è in progressiva riduzione: </w:t>
      </w:r>
    </w:p>
    <w:tbl>
      <w:tblPr>
        <w:tblStyle w:val="Grigliatabella"/>
        <w:tblW w:w="0" w:type="auto"/>
        <w:jc w:val="center"/>
        <w:tblLook w:val="04A0" w:firstRow="1" w:lastRow="0" w:firstColumn="1" w:lastColumn="0" w:noHBand="0" w:noVBand="1"/>
      </w:tblPr>
      <w:tblGrid>
        <w:gridCol w:w="2310"/>
        <w:gridCol w:w="841"/>
        <w:gridCol w:w="815"/>
        <w:gridCol w:w="2325"/>
      </w:tblGrid>
      <w:tr w:rsidR="00FF0DBD" w:rsidRPr="00CF39E4" w14:paraId="261CF406" w14:textId="77777777" w:rsidTr="00FF0DBD">
        <w:trPr>
          <w:trHeight w:val="300"/>
          <w:jc w:val="center"/>
        </w:trPr>
        <w:tc>
          <w:tcPr>
            <w:tcW w:w="2310" w:type="dxa"/>
            <w:noWrap/>
            <w:hideMark/>
          </w:tcPr>
          <w:p w14:paraId="7F3139F8" w14:textId="77777777" w:rsidR="00FF0DBD" w:rsidRPr="00CF39E4" w:rsidRDefault="00FF0DBD" w:rsidP="0071285C">
            <w:r w:rsidRPr="00CF39E4">
              <w:t> </w:t>
            </w:r>
          </w:p>
        </w:tc>
        <w:tc>
          <w:tcPr>
            <w:tcW w:w="841" w:type="dxa"/>
            <w:shd w:val="clear" w:color="auto" w:fill="ACE9F8" w:themeFill="background2" w:themeFillTint="99"/>
            <w:noWrap/>
            <w:hideMark/>
          </w:tcPr>
          <w:p w14:paraId="280F11F7" w14:textId="77777777" w:rsidR="00FF0DBD" w:rsidRPr="00590BE4" w:rsidRDefault="00FF0DBD" w:rsidP="0071285C">
            <w:pPr>
              <w:rPr>
                <w:b/>
                <w:bCs/>
              </w:rPr>
            </w:pPr>
            <w:r w:rsidRPr="00590BE4">
              <w:rPr>
                <w:b/>
                <w:bCs/>
              </w:rPr>
              <w:t>2019</w:t>
            </w:r>
          </w:p>
        </w:tc>
        <w:tc>
          <w:tcPr>
            <w:tcW w:w="815" w:type="dxa"/>
            <w:shd w:val="clear" w:color="auto" w:fill="ACE9F8" w:themeFill="background2" w:themeFillTint="99"/>
            <w:noWrap/>
            <w:hideMark/>
          </w:tcPr>
          <w:p w14:paraId="7C2C9641" w14:textId="77777777" w:rsidR="00FF0DBD" w:rsidRPr="00590BE4" w:rsidRDefault="00FF0DBD" w:rsidP="0071285C">
            <w:pPr>
              <w:rPr>
                <w:b/>
                <w:bCs/>
              </w:rPr>
            </w:pPr>
            <w:r w:rsidRPr="00590BE4">
              <w:rPr>
                <w:b/>
                <w:bCs/>
              </w:rPr>
              <w:t>2023</w:t>
            </w:r>
          </w:p>
        </w:tc>
        <w:tc>
          <w:tcPr>
            <w:tcW w:w="2325" w:type="dxa"/>
            <w:shd w:val="clear" w:color="auto" w:fill="FFFF00"/>
            <w:noWrap/>
            <w:hideMark/>
          </w:tcPr>
          <w:p w14:paraId="558D3AFE" w14:textId="17862310" w:rsidR="00FF0DBD" w:rsidRPr="00590BE4" w:rsidRDefault="00FF0DBD" w:rsidP="00590BE4">
            <w:pPr>
              <w:jc w:val="center"/>
              <w:rPr>
                <w:b/>
                <w:bCs/>
              </w:rPr>
            </w:pPr>
            <w:proofErr w:type="gramStart"/>
            <w:r w:rsidRPr="00590BE4">
              <w:rPr>
                <w:b/>
                <w:bCs/>
              </w:rPr>
              <w:t>variazione  %</w:t>
            </w:r>
            <w:proofErr w:type="gramEnd"/>
            <w:r w:rsidRPr="00590BE4">
              <w:rPr>
                <w:b/>
                <w:bCs/>
              </w:rPr>
              <w:t xml:space="preserve"> </w:t>
            </w:r>
            <w:r>
              <w:rPr>
                <w:b/>
                <w:bCs/>
              </w:rPr>
              <w:t>2019/</w:t>
            </w:r>
            <w:r w:rsidRPr="00590BE4">
              <w:rPr>
                <w:b/>
                <w:bCs/>
              </w:rPr>
              <w:t>2023</w:t>
            </w:r>
          </w:p>
        </w:tc>
      </w:tr>
      <w:tr w:rsidR="00FF0DBD" w:rsidRPr="00CF39E4" w14:paraId="45DC3ADC" w14:textId="77777777" w:rsidTr="00FF0DBD">
        <w:trPr>
          <w:trHeight w:val="870"/>
          <w:jc w:val="center"/>
        </w:trPr>
        <w:tc>
          <w:tcPr>
            <w:tcW w:w="2310" w:type="dxa"/>
            <w:hideMark/>
          </w:tcPr>
          <w:p w14:paraId="3FCA442D" w14:textId="77777777" w:rsidR="00FF0DBD" w:rsidRPr="00CF39E4" w:rsidRDefault="00FF0DBD" w:rsidP="0071285C">
            <w:r w:rsidRPr="00CF39E4">
              <w:rPr>
                <w:b/>
                <w:bCs/>
                <w:i/>
                <w:iCs/>
              </w:rPr>
              <w:t>DEBITO PROVINCE E CITTA' METROPOLITANE</w:t>
            </w:r>
            <w:r w:rsidRPr="00CF39E4">
              <w:t xml:space="preserve"> (milioni di euro)</w:t>
            </w:r>
          </w:p>
        </w:tc>
        <w:tc>
          <w:tcPr>
            <w:tcW w:w="841" w:type="dxa"/>
            <w:noWrap/>
            <w:hideMark/>
          </w:tcPr>
          <w:p w14:paraId="02F24F23" w14:textId="77777777" w:rsidR="00FF0DBD" w:rsidRDefault="00FF0DBD" w:rsidP="0071285C">
            <w:pPr>
              <w:widowControl w:val="0"/>
              <w:jc w:val="center"/>
            </w:pPr>
          </w:p>
          <w:p w14:paraId="7D69FA44" w14:textId="60359718" w:rsidR="00FF0DBD" w:rsidRPr="00CF39E4" w:rsidRDefault="00FF0DBD" w:rsidP="0071285C">
            <w:pPr>
              <w:widowControl w:val="0"/>
              <w:jc w:val="center"/>
            </w:pPr>
            <w:r w:rsidRPr="00CF39E4">
              <w:t>6.606</w:t>
            </w:r>
          </w:p>
        </w:tc>
        <w:tc>
          <w:tcPr>
            <w:tcW w:w="815" w:type="dxa"/>
            <w:noWrap/>
            <w:hideMark/>
          </w:tcPr>
          <w:p w14:paraId="30631D2C" w14:textId="77777777" w:rsidR="00FF0DBD" w:rsidRDefault="00FF0DBD" w:rsidP="0071285C">
            <w:pPr>
              <w:widowControl w:val="0"/>
              <w:jc w:val="center"/>
            </w:pPr>
          </w:p>
          <w:p w14:paraId="634744FA" w14:textId="2770E08C" w:rsidR="00FF0DBD" w:rsidRPr="00CF39E4" w:rsidRDefault="00FF0DBD" w:rsidP="0071285C">
            <w:pPr>
              <w:widowControl w:val="0"/>
              <w:jc w:val="center"/>
            </w:pPr>
            <w:r w:rsidRPr="00CF39E4">
              <w:t>5.469</w:t>
            </w:r>
          </w:p>
        </w:tc>
        <w:tc>
          <w:tcPr>
            <w:tcW w:w="2325" w:type="dxa"/>
            <w:shd w:val="clear" w:color="auto" w:fill="FFFF00"/>
            <w:noWrap/>
            <w:hideMark/>
          </w:tcPr>
          <w:p w14:paraId="11E17D0F" w14:textId="412494BC" w:rsidR="00FF0DBD" w:rsidRDefault="00FF0DBD" w:rsidP="0071285C">
            <w:pPr>
              <w:widowControl w:val="0"/>
              <w:jc w:val="center"/>
              <w:rPr>
                <w:b/>
                <w:bCs/>
              </w:rPr>
            </w:pPr>
          </w:p>
          <w:p w14:paraId="402E28B3" w14:textId="0FFBE233" w:rsidR="00FF0DBD" w:rsidRPr="00590BE4" w:rsidRDefault="00FF0DBD" w:rsidP="0071285C">
            <w:pPr>
              <w:widowControl w:val="0"/>
              <w:jc w:val="center"/>
              <w:rPr>
                <w:b/>
                <w:bCs/>
              </w:rPr>
            </w:pPr>
            <w:r>
              <w:rPr>
                <w:b/>
                <w:bCs/>
              </w:rPr>
              <w:t xml:space="preserve">- </w:t>
            </w:r>
            <w:r w:rsidRPr="00590BE4">
              <w:rPr>
                <w:b/>
                <w:bCs/>
              </w:rPr>
              <w:t>17,21</w:t>
            </w:r>
            <w:r>
              <w:rPr>
                <w:b/>
                <w:bCs/>
              </w:rPr>
              <w:t>%</w:t>
            </w:r>
          </w:p>
        </w:tc>
      </w:tr>
    </w:tbl>
    <w:p w14:paraId="7BD96F2E" w14:textId="77777777" w:rsidR="00845EAF" w:rsidRDefault="00845EAF" w:rsidP="002D5CC4">
      <w:pPr>
        <w:spacing w:before="0" w:after="0" w:line="240" w:lineRule="auto"/>
        <w:jc w:val="both"/>
        <w:rPr>
          <w:sz w:val="24"/>
          <w:szCs w:val="24"/>
        </w:rPr>
      </w:pPr>
    </w:p>
    <w:p w14:paraId="7D39D3F8" w14:textId="37B3D941" w:rsidR="008B5A35" w:rsidRDefault="008B5A35" w:rsidP="002D5CC4">
      <w:pPr>
        <w:spacing w:before="0" w:after="0" w:line="240" w:lineRule="auto"/>
        <w:jc w:val="both"/>
        <w:rPr>
          <w:sz w:val="24"/>
          <w:szCs w:val="24"/>
        </w:rPr>
      </w:pPr>
      <w:r>
        <w:rPr>
          <w:sz w:val="24"/>
          <w:szCs w:val="24"/>
        </w:rPr>
        <w:t xml:space="preserve">Tale riduzione non ha determinato una contrazione della spesa per investimenti, che è garantita anche da concorsi finanziari di altri livelli di governo, sui quali si è realizzata un’alta capacità d’impiego da parte delle Province. </w:t>
      </w:r>
    </w:p>
    <w:p w14:paraId="42F86820" w14:textId="77777777" w:rsidR="00AB3483" w:rsidRDefault="00AB3483" w:rsidP="002D5CC4">
      <w:pPr>
        <w:spacing w:before="0" w:after="0" w:line="240" w:lineRule="auto"/>
        <w:jc w:val="both"/>
        <w:rPr>
          <w:sz w:val="24"/>
          <w:szCs w:val="24"/>
        </w:rPr>
      </w:pPr>
    </w:p>
    <w:p w14:paraId="5C5C5DF2" w14:textId="77777777" w:rsidR="008B54E1" w:rsidRDefault="008B54E1" w:rsidP="008D735F">
      <w:pPr>
        <w:pStyle w:val="Paragrafoelenco"/>
        <w:spacing w:before="0" w:after="0" w:line="240" w:lineRule="auto"/>
        <w:rPr>
          <w:sz w:val="24"/>
          <w:szCs w:val="24"/>
        </w:rPr>
      </w:pPr>
    </w:p>
    <w:p w14:paraId="7DACAA8B" w14:textId="77777777" w:rsidR="00AB3483" w:rsidRDefault="00AB3483" w:rsidP="008D735F">
      <w:pPr>
        <w:pStyle w:val="Paragrafoelenco"/>
        <w:spacing w:before="0" w:after="0" w:line="240" w:lineRule="auto"/>
        <w:rPr>
          <w:sz w:val="24"/>
          <w:szCs w:val="24"/>
        </w:rPr>
      </w:pPr>
    </w:p>
    <w:p w14:paraId="77EBE38C" w14:textId="77777777" w:rsidR="00AB3483" w:rsidRDefault="00AB3483" w:rsidP="008D735F">
      <w:pPr>
        <w:pStyle w:val="Paragrafoelenco"/>
        <w:spacing w:before="0" w:after="0" w:line="240" w:lineRule="auto"/>
        <w:rPr>
          <w:sz w:val="24"/>
          <w:szCs w:val="24"/>
        </w:rPr>
      </w:pPr>
    </w:p>
    <w:p w14:paraId="7B65D593" w14:textId="4CEC9B78" w:rsidR="00845EAF" w:rsidRPr="0048659F" w:rsidRDefault="000E27D2" w:rsidP="0000644B">
      <w:pPr>
        <w:pStyle w:val="Paragrafoelenco"/>
        <w:numPr>
          <w:ilvl w:val="0"/>
          <w:numId w:val="10"/>
        </w:numPr>
        <w:spacing w:before="0" w:after="0" w:line="240" w:lineRule="auto"/>
        <w:jc w:val="both"/>
      </w:pPr>
      <w:r>
        <w:rPr>
          <w:b/>
          <w:bCs/>
          <w:sz w:val="24"/>
          <w:szCs w:val="24"/>
        </w:rPr>
        <w:t>Lo squilibrio delle Province aggravato dalle “spending”</w:t>
      </w:r>
    </w:p>
    <w:p w14:paraId="71F166C5" w14:textId="77777777" w:rsidR="0048659F" w:rsidRDefault="0048659F" w:rsidP="0048659F">
      <w:pPr>
        <w:pStyle w:val="Default"/>
        <w:ind w:left="360"/>
        <w:jc w:val="both"/>
        <w:rPr>
          <w:rFonts w:asciiTheme="minorHAnsi" w:hAnsiTheme="minorHAnsi"/>
        </w:rPr>
      </w:pPr>
    </w:p>
    <w:p w14:paraId="0608DC99" w14:textId="1F3F2C71" w:rsidR="00586372" w:rsidRPr="002077DF" w:rsidRDefault="0048659F" w:rsidP="006718DA">
      <w:pPr>
        <w:autoSpaceDE w:val="0"/>
        <w:autoSpaceDN w:val="0"/>
        <w:adjustRightInd w:val="0"/>
        <w:spacing w:before="0" w:after="0" w:line="240" w:lineRule="auto"/>
        <w:jc w:val="both"/>
        <w:rPr>
          <w:rFonts w:asciiTheme="majorHAnsi" w:hAnsiTheme="majorHAnsi" w:cs="Times New Roman"/>
          <w:b/>
          <w:color w:val="000000" w:themeColor="text1"/>
          <w:sz w:val="24"/>
          <w:szCs w:val="24"/>
        </w:rPr>
      </w:pPr>
      <w:r>
        <w:rPr>
          <w:rFonts w:asciiTheme="majorHAnsi" w:hAnsiTheme="majorHAnsi" w:cs="Times New Roman"/>
          <w:sz w:val="24"/>
          <w:szCs w:val="24"/>
        </w:rPr>
        <w:t xml:space="preserve">Come avevamo evidenziato in sede di audizione sulla Legge di Bilancio 2024, </w:t>
      </w:r>
      <w:r w:rsidRPr="008552B0">
        <w:rPr>
          <w:rFonts w:asciiTheme="majorHAnsi" w:hAnsiTheme="majorHAnsi" w:cs="Times New Roman"/>
          <w:sz w:val="24"/>
          <w:szCs w:val="24"/>
        </w:rPr>
        <w:t xml:space="preserve">la scelta operata di ricorrere, per la riduzione della spesa, all’ennesima spending review sulle Province </w:t>
      </w:r>
      <w:r w:rsidR="006718DA">
        <w:rPr>
          <w:rFonts w:asciiTheme="majorHAnsi" w:hAnsiTheme="majorHAnsi" w:cs="Times New Roman"/>
          <w:sz w:val="24"/>
          <w:szCs w:val="24"/>
        </w:rPr>
        <w:t>(</w:t>
      </w:r>
      <w:r w:rsidRPr="008552B0">
        <w:rPr>
          <w:rFonts w:asciiTheme="majorHAnsi" w:hAnsiTheme="majorHAnsi" w:cs="Times New Roman"/>
          <w:sz w:val="24"/>
          <w:szCs w:val="24"/>
        </w:rPr>
        <w:t>sugli enti locali</w:t>
      </w:r>
      <w:r w:rsidR="006718DA">
        <w:rPr>
          <w:rFonts w:asciiTheme="majorHAnsi" w:hAnsiTheme="majorHAnsi" w:cs="Times New Roman"/>
          <w:sz w:val="24"/>
          <w:szCs w:val="24"/>
        </w:rPr>
        <w:t>)</w:t>
      </w:r>
      <w:r w:rsidRPr="008552B0">
        <w:rPr>
          <w:rFonts w:asciiTheme="majorHAnsi" w:hAnsiTheme="majorHAnsi" w:cs="Times New Roman"/>
          <w:sz w:val="24"/>
          <w:szCs w:val="24"/>
        </w:rPr>
        <w:t xml:space="preserve"> ha prodotto effetti negativi immediati sul</w:t>
      </w:r>
      <w:r w:rsidR="006718DA">
        <w:rPr>
          <w:rFonts w:asciiTheme="majorHAnsi" w:hAnsiTheme="majorHAnsi" w:cs="Times New Roman"/>
          <w:sz w:val="24"/>
          <w:szCs w:val="24"/>
        </w:rPr>
        <w:t>la capacità</w:t>
      </w:r>
      <w:r w:rsidR="00586372">
        <w:rPr>
          <w:rFonts w:asciiTheme="majorHAnsi" w:hAnsiTheme="majorHAnsi" w:cs="Times New Roman"/>
          <w:sz w:val="24"/>
          <w:szCs w:val="24"/>
        </w:rPr>
        <w:t xml:space="preserve"> </w:t>
      </w:r>
      <w:r w:rsidR="00586372" w:rsidRPr="002077DF">
        <w:rPr>
          <w:rFonts w:asciiTheme="majorHAnsi" w:hAnsiTheme="majorHAnsi" w:cs="Times New Roman"/>
          <w:color w:val="000000" w:themeColor="text1"/>
          <w:sz w:val="24"/>
          <w:szCs w:val="24"/>
        </w:rPr>
        <w:t>di intervento</w:t>
      </w:r>
      <w:r w:rsidR="006718DA" w:rsidRPr="002077DF">
        <w:rPr>
          <w:rFonts w:asciiTheme="majorHAnsi" w:hAnsiTheme="majorHAnsi" w:cs="Times New Roman"/>
          <w:color w:val="000000" w:themeColor="text1"/>
          <w:sz w:val="24"/>
          <w:szCs w:val="24"/>
        </w:rPr>
        <w:t xml:space="preserve"> </w:t>
      </w:r>
      <w:r w:rsidR="006718DA">
        <w:rPr>
          <w:rFonts w:asciiTheme="majorHAnsi" w:hAnsiTheme="majorHAnsi" w:cs="Times New Roman"/>
          <w:sz w:val="24"/>
          <w:szCs w:val="24"/>
        </w:rPr>
        <w:t xml:space="preserve">degli enti. </w:t>
      </w:r>
      <w:r w:rsidR="00586372" w:rsidRPr="002077DF">
        <w:rPr>
          <w:rFonts w:asciiTheme="majorHAnsi" w:hAnsiTheme="majorHAnsi" w:cs="Times New Roman"/>
          <w:b/>
          <w:color w:val="000000" w:themeColor="text1"/>
          <w:sz w:val="24"/>
          <w:szCs w:val="24"/>
        </w:rPr>
        <w:t>Solo la garanzia di una copertura reale del fab</w:t>
      </w:r>
      <w:r w:rsidR="002A2998" w:rsidRPr="002077DF">
        <w:rPr>
          <w:rFonts w:asciiTheme="majorHAnsi" w:hAnsiTheme="majorHAnsi" w:cs="Times New Roman"/>
          <w:b/>
          <w:color w:val="000000" w:themeColor="text1"/>
          <w:sz w:val="24"/>
          <w:szCs w:val="24"/>
        </w:rPr>
        <w:t>bi</w:t>
      </w:r>
      <w:r w:rsidR="00586372" w:rsidRPr="002077DF">
        <w:rPr>
          <w:rFonts w:asciiTheme="majorHAnsi" w:hAnsiTheme="majorHAnsi" w:cs="Times New Roman"/>
          <w:b/>
          <w:color w:val="000000" w:themeColor="text1"/>
          <w:sz w:val="24"/>
          <w:szCs w:val="24"/>
        </w:rPr>
        <w:t>sogno</w:t>
      </w:r>
      <w:r w:rsidR="002A2998" w:rsidRPr="002077DF">
        <w:rPr>
          <w:rFonts w:asciiTheme="majorHAnsi" w:hAnsiTheme="majorHAnsi" w:cs="Times New Roman"/>
          <w:b/>
          <w:color w:val="000000" w:themeColor="text1"/>
          <w:sz w:val="24"/>
          <w:szCs w:val="24"/>
        </w:rPr>
        <w:t xml:space="preserve"> effettivo </w:t>
      </w:r>
      <w:r w:rsidR="00586372" w:rsidRPr="002077DF">
        <w:rPr>
          <w:rFonts w:asciiTheme="majorHAnsi" w:hAnsiTheme="majorHAnsi" w:cs="Times New Roman"/>
          <w:b/>
          <w:color w:val="000000" w:themeColor="text1"/>
          <w:sz w:val="24"/>
          <w:szCs w:val="24"/>
        </w:rPr>
        <w:t>di spesa corrente</w:t>
      </w:r>
      <w:r w:rsidR="002A2998" w:rsidRPr="002077DF">
        <w:rPr>
          <w:rFonts w:asciiTheme="majorHAnsi" w:hAnsiTheme="majorHAnsi" w:cs="Times New Roman"/>
          <w:b/>
          <w:color w:val="000000" w:themeColor="text1"/>
          <w:sz w:val="24"/>
          <w:szCs w:val="24"/>
        </w:rPr>
        <w:t xml:space="preserve"> può salvaguardare la spesa di investimento e di sviluppo.</w:t>
      </w:r>
    </w:p>
    <w:p w14:paraId="0FE04009" w14:textId="22AF706D" w:rsidR="008552B0" w:rsidRPr="009D2022" w:rsidRDefault="008552B0" w:rsidP="006718DA">
      <w:pPr>
        <w:autoSpaceDE w:val="0"/>
        <w:autoSpaceDN w:val="0"/>
        <w:adjustRightInd w:val="0"/>
        <w:spacing w:before="0"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La manovra ha infatti assegnato </w:t>
      </w:r>
      <w:r w:rsidR="006718DA">
        <w:rPr>
          <w:rFonts w:asciiTheme="majorHAnsi" w:hAnsiTheme="majorHAnsi" w:cs="Times New Roman"/>
          <w:sz w:val="24"/>
          <w:szCs w:val="24"/>
        </w:rPr>
        <w:t xml:space="preserve">a Province (e Città metropolitane) </w:t>
      </w:r>
      <w:r>
        <w:rPr>
          <w:rFonts w:asciiTheme="majorHAnsi" w:hAnsiTheme="majorHAnsi" w:cs="Times New Roman"/>
          <w:sz w:val="24"/>
          <w:szCs w:val="24"/>
        </w:rPr>
        <w:t xml:space="preserve">un </w:t>
      </w:r>
      <w:r w:rsidRPr="00016F3F">
        <w:rPr>
          <w:rFonts w:asciiTheme="majorHAnsi" w:hAnsiTheme="majorHAnsi" w:cs="Times New Roman"/>
          <w:b/>
          <w:bCs/>
          <w:sz w:val="24"/>
          <w:szCs w:val="24"/>
        </w:rPr>
        <w:t>concorso alla finanza pubblica</w:t>
      </w:r>
      <w:r w:rsidRPr="009D2022">
        <w:rPr>
          <w:rFonts w:asciiTheme="majorHAnsi" w:hAnsiTheme="majorHAnsi" w:cs="Times New Roman"/>
          <w:sz w:val="24"/>
          <w:szCs w:val="24"/>
        </w:rPr>
        <w:t xml:space="preserve"> </w:t>
      </w:r>
      <w:r>
        <w:rPr>
          <w:rFonts w:asciiTheme="majorHAnsi" w:hAnsiTheme="majorHAnsi" w:cs="Times New Roman"/>
          <w:sz w:val="24"/>
          <w:szCs w:val="24"/>
        </w:rPr>
        <w:t xml:space="preserve">pari a </w:t>
      </w:r>
      <w:r w:rsidRPr="00016F3F">
        <w:rPr>
          <w:rFonts w:asciiTheme="majorHAnsi" w:hAnsiTheme="majorHAnsi" w:cs="Times New Roman"/>
          <w:b/>
          <w:bCs/>
          <w:sz w:val="24"/>
          <w:szCs w:val="24"/>
        </w:rPr>
        <w:t xml:space="preserve">50 milioni </w:t>
      </w:r>
      <w:r w:rsidR="006718DA">
        <w:rPr>
          <w:rFonts w:asciiTheme="majorHAnsi" w:hAnsiTheme="majorHAnsi" w:cs="Times New Roman"/>
          <w:b/>
          <w:bCs/>
          <w:sz w:val="24"/>
          <w:szCs w:val="24"/>
        </w:rPr>
        <w:t>l’anno</w:t>
      </w:r>
      <w:r>
        <w:rPr>
          <w:rFonts w:asciiTheme="majorHAnsi" w:hAnsiTheme="majorHAnsi" w:cs="Times New Roman"/>
          <w:sz w:val="24"/>
          <w:szCs w:val="24"/>
        </w:rPr>
        <w:t xml:space="preserve"> dal 2024 al 2028 (</w:t>
      </w:r>
      <w:r w:rsidR="006718DA">
        <w:rPr>
          <w:rFonts w:asciiTheme="majorHAnsi" w:hAnsiTheme="majorHAnsi" w:cs="Times New Roman"/>
          <w:sz w:val="24"/>
          <w:szCs w:val="24"/>
        </w:rPr>
        <w:t>250 milioni totali)</w:t>
      </w:r>
      <w:r>
        <w:rPr>
          <w:rFonts w:asciiTheme="majorHAnsi" w:hAnsiTheme="majorHAnsi" w:cs="Times New Roman"/>
          <w:sz w:val="24"/>
          <w:szCs w:val="24"/>
        </w:rPr>
        <w:t>.</w:t>
      </w:r>
      <w:r w:rsidR="006718DA">
        <w:rPr>
          <w:rFonts w:asciiTheme="majorHAnsi" w:hAnsiTheme="majorHAnsi" w:cs="Times New Roman"/>
          <w:sz w:val="24"/>
          <w:szCs w:val="24"/>
        </w:rPr>
        <w:t xml:space="preserve"> Questo taglio si somma a quelli previsti </w:t>
      </w:r>
      <w:r w:rsidR="00096B12">
        <w:rPr>
          <w:rFonts w:asciiTheme="majorHAnsi" w:hAnsiTheme="majorHAnsi" w:cs="Times New Roman"/>
          <w:sz w:val="24"/>
          <w:szCs w:val="24"/>
        </w:rPr>
        <w:t xml:space="preserve">dalla cosiddetta </w:t>
      </w:r>
      <w:r w:rsidR="00096B12" w:rsidRPr="00096B12">
        <w:rPr>
          <w:rFonts w:asciiTheme="majorHAnsi" w:hAnsiTheme="majorHAnsi" w:cs="Times New Roman"/>
          <w:i/>
          <w:iCs/>
          <w:sz w:val="24"/>
          <w:szCs w:val="24"/>
        </w:rPr>
        <w:t>“spending digitale”</w:t>
      </w:r>
      <w:r w:rsidR="006718DA">
        <w:rPr>
          <w:rFonts w:asciiTheme="majorHAnsi" w:hAnsiTheme="majorHAnsi" w:cs="Times New Roman"/>
          <w:sz w:val="24"/>
          <w:szCs w:val="24"/>
        </w:rPr>
        <w:t xml:space="preserve"> di 100 milioni (50 milioni per 2024 e 50 milioni per il 2025) prevista dall</w:t>
      </w:r>
      <w:r w:rsidR="00096B12">
        <w:rPr>
          <w:rFonts w:asciiTheme="majorHAnsi" w:hAnsiTheme="majorHAnsi" w:cs="Times New Roman"/>
          <w:sz w:val="24"/>
          <w:szCs w:val="24"/>
        </w:rPr>
        <w:t xml:space="preserve">’art. 1 comma 853, della Legge di bilancio 2021. </w:t>
      </w:r>
    </w:p>
    <w:p w14:paraId="015408BF" w14:textId="12EB8E61" w:rsidR="008552B0" w:rsidRPr="009D2022" w:rsidRDefault="006718DA" w:rsidP="006718DA">
      <w:pPr>
        <w:autoSpaceDE w:val="0"/>
        <w:autoSpaceDN w:val="0"/>
        <w:adjustRightInd w:val="0"/>
        <w:spacing w:before="0"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Ciò si somma </w:t>
      </w:r>
      <w:r w:rsidR="008552B0" w:rsidRPr="00016F3F">
        <w:rPr>
          <w:rFonts w:asciiTheme="majorHAnsi" w:hAnsiTheme="majorHAnsi" w:cs="Times New Roman"/>
          <w:b/>
          <w:bCs/>
          <w:sz w:val="24"/>
          <w:szCs w:val="24"/>
        </w:rPr>
        <w:t>ai già pesanti tagli operati dalla legge 190/2014</w:t>
      </w:r>
      <w:r w:rsidR="008552B0">
        <w:rPr>
          <w:rFonts w:asciiTheme="majorHAnsi" w:hAnsiTheme="majorHAnsi" w:cs="Times New Roman"/>
          <w:sz w:val="24"/>
          <w:szCs w:val="24"/>
        </w:rPr>
        <w:t xml:space="preserve">, ancora non completamente riassorbiti dai contributi messi a disposizione dal legislatore statale. </w:t>
      </w:r>
    </w:p>
    <w:p w14:paraId="40D9CB79" w14:textId="1284AF6E" w:rsidR="0048659F" w:rsidRDefault="008552B0" w:rsidP="006718DA">
      <w:pPr>
        <w:pStyle w:val="Default"/>
        <w:jc w:val="both"/>
        <w:rPr>
          <w:rFonts w:asciiTheme="minorHAnsi" w:hAnsiTheme="minorHAnsi"/>
          <w:b/>
          <w:bCs/>
        </w:rPr>
      </w:pPr>
      <w:r>
        <w:rPr>
          <w:rFonts w:asciiTheme="minorHAnsi" w:hAnsiTheme="minorHAnsi"/>
        </w:rPr>
        <w:t>L</w:t>
      </w:r>
      <w:r w:rsidR="004F02DA">
        <w:rPr>
          <w:rFonts w:asciiTheme="minorHAnsi" w:hAnsiTheme="minorHAnsi"/>
        </w:rPr>
        <w:t xml:space="preserve">o squilibrio finanziario del comparto delle Province (e delle CM)  è </w:t>
      </w:r>
      <w:r w:rsidR="0048659F" w:rsidRPr="00D50094">
        <w:rPr>
          <w:rFonts w:asciiTheme="minorHAnsi" w:hAnsiTheme="minorHAnsi"/>
        </w:rPr>
        <w:t>emers</w:t>
      </w:r>
      <w:r w:rsidR="004F02DA">
        <w:rPr>
          <w:rFonts w:asciiTheme="minorHAnsi" w:hAnsiTheme="minorHAnsi"/>
        </w:rPr>
        <w:t>o</w:t>
      </w:r>
      <w:r w:rsidR="0048659F" w:rsidRPr="00D50094">
        <w:rPr>
          <w:rFonts w:asciiTheme="minorHAnsi" w:hAnsiTheme="minorHAnsi"/>
        </w:rPr>
        <w:t xml:space="preserve"> dopo un lungo lavoro istruttorio operato dalla Commissione tecnica per i fabbisogni standard che, ai sensi dell’articolo 1, comma 561 della legge di bilancio 2022, ha fotografato la capacità fiscale, i fabbisogni standard ed il contributo alla finanza pubblica di ogni </w:t>
      </w:r>
      <w:r w:rsidR="0048659F">
        <w:rPr>
          <w:rFonts w:asciiTheme="minorHAnsi" w:hAnsiTheme="minorHAnsi"/>
        </w:rPr>
        <w:t>Provincia</w:t>
      </w:r>
      <w:r w:rsidR="0048659F" w:rsidRPr="00D50094">
        <w:rPr>
          <w:rFonts w:asciiTheme="minorHAnsi" w:hAnsiTheme="minorHAnsi"/>
        </w:rPr>
        <w:t xml:space="preserve">: il risultato di questo lavoro ha fatto così emergere </w:t>
      </w:r>
      <w:r w:rsidR="0048659F" w:rsidRPr="0008235F">
        <w:rPr>
          <w:rFonts w:asciiTheme="minorHAnsi" w:hAnsiTheme="minorHAnsi"/>
          <w:b/>
          <w:bCs/>
        </w:rPr>
        <w:t>per il comparto delle Province</w:t>
      </w:r>
      <w:r w:rsidR="0048659F" w:rsidRPr="00D50094">
        <w:rPr>
          <w:rFonts w:asciiTheme="minorHAnsi" w:hAnsiTheme="minorHAnsi"/>
        </w:rPr>
        <w:t xml:space="preserve"> </w:t>
      </w:r>
      <w:r w:rsidR="0048659F" w:rsidRPr="00D50094">
        <w:rPr>
          <w:rFonts w:asciiTheme="minorHAnsi" w:hAnsiTheme="minorHAnsi"/>
          <w:b/>
          <w:bCs/>
        </w:rPr>
        <w:t xml:space="preserve">uno scenario di squilibrio di </w:t>
      </w:r>
      <w:r w:rsidR="0048659F">
        <w:rPr>
          <w:rFonts w:asciiTheme="minorHAnsi" w:hAnsiTheme="minorHAnsi"/>
          <w:b/>
          <w:bCs/>
        </w:rPr>
        <w:t>842</w:t>
      </w:r>
      <w:r w:rsidR="0048659F" w:rsidRPr="00D50094">
        <w:rPr>
          <w:rFonts w:asciiTheme="minorHAnsi" w:hAnsiTheme="minorHAnsi"/>
          <w:b/>
          <w:bCs/>
        </w:rPr>
        <w:t xml:space="preserve"> milioni di euro</w:t>
      </w:r>
      <w:r w:rsidR="004F02DA">
        <w:rPr>
          <w:rFonts w:asciiTheme="minorHAnsi" w:hAnsiTheme="minorHAnsi"/>
          <w:b/>
          <w:bCs/>
        </w:rPr>
        <w:t xml:space="preserve"> per l’anno 2021</w:t>
      </w:r>
      <w:r w:rsidR="0048659F" w:rsidRPr="00D50094">
        <w:rPr>
          <w:rFonts w:asciiTheme="minorHAnsi" w:hAnsiTheme="minorHAnsi"/>
          <w:b/>
          <w:bCs/>
        </w:rPr>
        <w:t xml:space="preserve">. </w:t>
      </w:r>
    </w:p>
    <w:p w14:paraId="0FC53D6C" w14:textId="77777777" w:rsidR="004E237A" w:rsidRDefault="004E237A" w:rsidP="006718DA">
      <w:pPr>
        <w:pStyle w:val="Default"/>
        <w:jc w:val="both"/>
        <w:rPr>
          <w:rFonts w:asciiTheme="minorHAnsi" w:hAnsiTheme="minorHAnsi"/>
          <w:b/>
          <w:bCs/>
        </w:rPr>
      </w:pPr>
    </w:p>
    <w:p w14:paraId="3882A1CF" w14:textId="77777777" w:rsidR="0048659F" w:rsidRDefault="0048659F" w:rsidP="0048659F">
      <w:pPr>
        <w:pStyle w:val="Default"/>
        <w:ind w:left="720"/>
        <w:jc w:val="both"/>
        <w:rPr>
          <w:rFonts w:asciiTheme="minorHAnsi" w:hAnsiTheme="minorHAnsi"/>
        </w:rPr>
      </w:pPr>
    </w:p>
    <w:tbl>
      <w:tblPr>
        <w:tblStyle w:val="Tabellagriglia4-colore1"/>
        <w:tblW w:w="0" w:type="auto"/>
        <w:jc w:val="center"/>
        <w:tblLook w:val="04A0" w:firstRow="1" w:lastRow="0" w:firstColumn="1" w:lastColumn="0" w:noHBand="0" w:noVBand="1"/>
      </w:tblPr>
      <w:tblGrid>
        <w:gridCol w:w="2407"/>
        <w:gridCol w:w="2407"/>
      </w:tblGrid>
      <w:tr w:rsidR="0048659F" w14:paraId="35FC0FD2" w14:textId="77777777" w:rsidTr="007128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14:paraId="06865B4B" w14:textId="77777777" w:rsidR="0048659F" w:rsidRPr="00252867" w:rsidRDefault="0048659F" w:rsidP="0071285C">
            <w:pPr>
              <w:jc w:val="both"/>
              <w:rPr>
                <w:rFonts w:ascii="Book Antiqua" w:hAnsi="Book Antiqua"/>
              </w:rPr>
            </w:pPr>
          </w:p>
        </w:tc>
        <w:tc>
          <w:tcPr>
            <w:tcW w:w="2407" w:type="dxa"/>
          </w:tcPr>
          <w:p w14:paraId="6B68FE98" w14:textId="77777777" w:rsidR="0048659F" w:rsidRDefault="0048659F" w:rsidP="0071285C">
            <w:pPr>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24"/>
                <w:szCs w:val="24"/>
              </w:rPr>
            </w:pPr>
            <w:r>
              <w:rPr>
                <w:rFonts w:ascii="Book Antiqua" w:hAnsi="Book Antiqua"/>
                <w:sz w:val="24"/>
                <w:szCs w:val="24"/>
              </w:rPr>
              <w:t>Province</w:t>
            </w:r>
          </w:p>
        </w:tc>
      </w:tr>
      <w:tr w:rsidR="0048659F" w14:paraId="466A4F17" w14:textId="77777777" w:rsidTr="00712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tcPr>
          <w:p w14:paraId="21F7B5D8" w14:textId="77777777" w:rsidR="0048659F" w:rsidRPr="00252867" w:rsidRDefault="0048659F" w:rsidP="0071285C">
            <w:pPr>
              <w:jc w:val="both"/>
              <w:rPr>
                <w:rFonts w:ascii="Book Antiqua" w:hAnsi="Book Antiqua"/>
                <w:sz w:val="20"/>
                <w:szCs w:val="20"/>
              </w:rPr>
            </w:pPr>
            <w:r w:rsidRPr="00252867">
              <w:rPr>
                <w:rFonts w:ascii="Book Antiqua" w:hAnsi="Book Antiqua"/>
                <w:sz w:val="20"/>
                <w:szCs w:val="20"/>
              </w:rPr>
              <w:t>Fabbisogni standard</w:t>
            </w:r>
          </w:p>
        </w:tc>
        <w:tc>
          <w:tcPr>
            <w:tcW w:w="2407" w:type="dxa"/>
          </w:tcPr>
          <w:p w14:paraId="3707EF0B" w14:textId="77777777" w:rsidR="0048659F" w:rsidRPr="00252867" w:rsidRDefault="0048659F" w:rsidP="0071285C">
            <w:pPr>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252867">
              <w:rPr>
                <w:rFonts w:ascii="Book Antiqua" w:hAnsi="Book Antiqua"/>
                <w:sz w:val="20"/>
                <w:szCs w:val="20"/>
              </w:rPr>
              <w:t>1.849.185.619</w:t>
            </w:r>
          </w:p>
        </w:tc>
      </w:tr>
      <w:tr w:rsidR="0048659F" w14:paraId="70725FB7" w14:textId="77777777" w:rsidTr="0071285C">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7768F3E1" w14:textId="77777777" w:rsidR="0048659F" w:rsidRPr="00252867" w:rsidRDefault="0048659F" w:rsidP="0071285C">
            <w:pPr>
              <w:jc w:val="both"/>
              <w:rPr>
                <w:rFonts w:ascii="Book Antiqua" w:hAnsi="Book Antiqua"/>
                <w:sz w:val="20"/>
                <w:szCs w:val="20"/>
              </w:rPr>
            </w:pPr>
            <w:r w:rsidRPr="00252867">
              <w:rPr>
                <w:rFonts w:ascii="Book Antiqua" w:hAnsi="Book Antiqua"/>
                <w:sz w:val="20"/>
                <w:szCs w:val="20"/>
              </w:rPr>
              <w:t>Capacità fiscali</w:t>
            </w:r>
          </w:p>
        </w:tc>
        <w:tc>
          <w:tcPr>
            <w:tcW w:w="2407" w:type="dxa"/>
          </w:tcPr>
          <w:p w14:paraId="1060E65E" w14:textId="77777777" w:rsidR="0048659F" w:rsidRPr="00252867" w:rsidRDefault="0048659F" w:rsidP="0071285C">
            <w:pPr>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252867">
              <w:rPr>
                <w:rFonts w:ascii="Book Antiqua" w:hAnsi="Book Antiqua"/>
                <w:sz w:val="20"/>
                <w:szCs w:val="20"/>
              </w:rPr>
              <w:t>1.943.460.660</w:t>
            </w:r>
          </w:p>
        </w:tc>
      </w:tr>
      <w:tr w:rsidR="0048659F" w14:paraId="79F58770" w14:textId="77777777" w:rsidTr="00712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tcPr>
          <w:p w14:paraId="6ECED8D4" w14:textId="77777777" w:rsidR="0048659F" w:rsidRPr="00252867" w:rsidRDefault="0048659F" w:rsidP="0071285C">
            <w:pPr>
              <w:jc w:val="both"/>
              <w:rPr>
                <w:rFonts w:ascii="Book Antiqua" w:hAnsi="Book Antiqua"/>
                <w:sz w:val="20"/>
                <w:szCs w:val="20"/>
              </w:rPr>
            </w:pPr>
            <w:r w:rsidRPr="00252867">
              <w:rPr>
                <w:rFonts w:ascii="Book Antiqua" w:hAnsi="Book Antiqua"/>
                <w:sz w:val="20"/>
                <w:szCs w:val="20"/>
              </w:rPr>
              <w:t>Concorso netto alla finanza pubblica 2021</w:t>
            </w:r>
          </w:p>
        </w:tc>
        <w:tc>
          <w:tcPr>
            <w:tcW w:w="2407" w:type="dxa"/>
          </w:tcPr>
          <w:p w14:paraId="106125D8" w14:textId="77777777" w:rsidR="0048659F" w:rsidRPr="00252867" w:rsidRDefault="0048659F" w:rsidP="0071285C">
            <w:pPr>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252867">
              <w:rPr>
                <w:rFonts w:ascii="Book Antiqua" w:hAnsi="Book Antiqua"/>
                <w:sz w:val="20"/>
                <w:szCs w:val="20"/>
              </w:rPr>
              <w:t>-936.221.702</w:t>
            </w:r>
          </w:p>
        </w:tc>
      </w:tr>
      <w:tr w:rsidR="0048659F" w14:paraId="11A4663D" w14:textId="77777777" w:rsidTr="0071285C">
        <w:trPr>
          <w:jc w:val="center"/>
        </w:trPr>
        <w:tc>
          <w:tcPr>
            <w:cnfStyle w:val="001000000000" w:firstRow="0" w:lastRow="0" w:firstColumn="1" w:lastColumn="0" w:oddVBand="0" w:evenVBand="0" w:oddHBand="0" w:evenHBand="0" w:firstRowFirstColumn="0" w:firstRowLastColumn="0" w:lastRowFirstColumn="0" w:lastRowLastColumn="0"/>
            <w:tcW w:w="2407" w:type="dxa"/>
            <w:shd w:val="clear" w:color="auto" w:fill="C00000"/>
          </w:tcPr>
          <w:p w14:paraId="5B59C7D3" w14:textId="77777777" w:rsidR="0048659F" w:rsidRPr="00252867" w:rsidRDefault="0048659F" w:rsidP="0071285C">
            <w:pPr>
              <w:jc w:val="both"/>
              <w:rPr>
                <w:rFonts w:ascii="Book Antiqua" w:hAnsi="Book Antiqua"/>
              </w:rPr>
            </w:pPr>
            <w:r>
              <w:rPr>
                <w:rFonts w:ascii="Book Antiqua" w:hAnsi="Book Antiqua"/>
              </w:rPr>
              <w:t>SQUILIBRIO DI COMPARTO</w:t>
            </w:r>
          </w:p>
        </w:tc>
        <w:tc>
          <w:tcPr>
            <w:tcW w:w="2407" w:type="dxa"/>
          </w:tcPr>
          <w:p w14:paraId="1E53D879" w14:textId="77777777" w:rsidR="0048659F" w:rsidRPr="00252867" w:rsidRDefault="0048659F" w:rsidP="0071285C">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bCs/>
                <w:sz w:val="24"/>
                <w:szCs w:val="24"/>
              </w:rPr>
            </w:pPr>
            <w:r w:rsidRPr="00252867">
              <w:rPr>
                <w:rFonts w:ascii="Book Antiqua" w:hAnsi="Book Antiqua"/>
                <w:b/>
                <w:bCs/>
                <w:sz w:val="24"/>
                <w:szCs w:val="24"/>
              </w:rPr>
              <w:t>-841.946.661</w:t>
            </w:r>
          </w:p>
        </w:tc>
      </w:tr>
    </w:tbl>
    <w:p w14:paraId="484701CB" w14:textId="77777777" w:rsidR="00AB3483" w:rsidRDefault="00AB3483" w:rsidP="00AB3483">
      <w:pPr>
        <w:pStyle w:val="Default"/>
        <w:jc w:val="both"/>
        <w:rPr>
          <w:rFonts w:asciiTheme="minorHAnsi" w:hAnsiTheme="minorHAnsi"/>
        </w:rPr>
      </w:pPr>
    </w:p>
    <w:p w14:paraId="6AF2E230" w14:textId="3BF54179" w:rsidR="0048659F" w:rsidRDefault="00AB3483" w:rsidP="00AB3483">
      <w:pPr>
        <w:pStyle w:val="Default"/>
        <w:jc w:val="both"/>
        <w:rPr>
          <w:rFonts w:asciiTheme="minorHAnsi" w:hAnsiTheme="minorHAnsi"/>
        </w:rPr>
      </w:pPr>
      <w:r>
        <w:rPr>
          <w:rFonts w:asciiTheme="minorHAnsi" w:hAnsiTheme="minorHAnsi"/>
        </w:rPr>
        <w:t xml:space="preserve">In riferimento ai dati della tabella sopra riportata, emerge l’esigenza, non più rinviabile, di aggiornare capacità fiscale e fabbisogni standard, costruiti su dati rispettivamente del 2019 e del 2018, evidentemente non più coerenti con l’attuale situazione economica. </w:t>
      </w:r>
    </w:p>
    <w:p w14:paraId="02DC35D7" w14:textId="26D0CBD8" w:rsidR="0048659F" w:rsidRPr="00AB3483" w:rsidRDefault="004F02DA" w:rsidP="00AB3483">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4"/>
          <w:szCs w:val="24"/>
        </w:rPr>
      </w:pPr>
      <w:r w:rsidRPr="00AB3483">
        <w:rPr>
          <w:rFonts w:cstheme="minorHAnsi"/>
          <w:sz w:val="24"/>
          <w:szCs w:val="24"/>
        </w:rPr>
        <w:t>A</w:t>
      </w:r>
      <w:r w:rsidR="0048659F" w:rsidRPr="00AB3483">
        <w:rPr>
          <w:rFonts w:cstheme="minorHAnsi"/>
          <w:sz w:val="24"/>
          <w:szCs w:val="24"/>
        </w:rPr>
        <w:t xml:space="preserve">d oggi il legislatore ha messo a disposizione per le Province 58 milioni per il 2022, 73 milioni per il 2023 e 95 milioni per il 2024, </w:t>
      </w:r>
      <w:r w:rsidR="0048659F" w:rsidRPr="00AB3483">
        <w:rPr>
          <w:rFonts w:cstheme="minorHAnsi"/>
          <w:b/>
          <w:bCs/>
          <w:sz w:val="24"/>
          <w:szCs w:val="24"/>
        </w:rPr>
        <w:t xml:space="preserve">per arrivare al 2031 ad assegnare alle Province solo </w:t>
      </w:r>
      <w:r w:rsidR="0048659F" w:rsidRPr="00AB3483">
        <w:rPr>
          <w:rFonts w:cstheme="minorHAnsi"/>
          <w:b/>
          <w:bCs/>
          <w:sz w:val="24"/>
          <w:szCs w:val="24"/>
          <w:u w:val="single"/>
        </w:rPr>
        <w:t xml:space="preserve">438 </w:t>
      </w:r>
      <w:proofErr w:type="gramStart"/>
      <w:r w:rsidR="0048659F" w:rsidRPr="00AB3483">
        <w:rPr>
          <w:rFonts w:cstheme="minorHAnsi"/>
          <w:b/>
          <w:bCs/>
          <w:sz w:val="24"/>
          <w:szCs w:val="24"/>
          <w:u w:val="single"/>
        </w:rPr>
        <w:t>milioni,  coprendo</w:t>
      </w:r>
      <w:proofErr w:type="gramEnd"/>
      <w:r w:rsidR="0048659F" w:rsidRPr="00AB3483">
        <w:rPr>
          <w:rFonts w:cstheme="minorHAnsi"/>
          <w:b/>
          <w:bCs/>
          <w:sz w:val="24"/>
          <w:szCs w:val="24"/>
          <w:u w:val="single"/>
        </w:rPr>
        <w:t xml:space="preserve"> quindi solo  il 50% dello squilibrio</w:t>
      </w:r>
      <w:r w:rsidR="0048659F" w:rsidRPr="00AB3483">
        <w:rPr>
          <w:rFonts w:cstheme="minorHAnsi"/>
          <w:sz w:val="24"/>
          <w:szCs w:val="24"/>
        </w:rPr>
        <w:t>. (</w:t>
      </w:r>
      <w:r w:rsidR="0048659F" w:rsidRPr="00AB3483">
        <w:rPr>
          <w:rFonts w:cstheme="minorHAnsi"/>
          <w:i/>
          <w:iCs/>
          <w:sz w:val="24"/>
          <w:szCs w:val="24"/>
        </w:rPr>
        <w:t xml:space="preserve">Fondo ex articolo 1, comma 561, della legge di bilancio 2022 n. 234/2021: 600 milioni di cui 438 per le Province e 162 per le CM).  </w:t>
      </w:r>
    </w:p>
    <w:p w14:paraId="52325885" w14:textId="77777777" w:rsidR="005E58AE" w:rsidRDefault="005E58AE" w:rsidP="0048659F">
      <w:pPr>
        <w:spacing w:after="160" w:line="259" w:lineRule="auto"/>
        <w:jc w:val="both"/>
        <w:rPr>
          <w:rFonts w:cs="Montserrat"/>
          <w:color w:val="000000"/>
          <w:sz w:val="24"/>
          <w:szCs w:val="24"/>
        </w:rPr>
      </w:pPr>
    </w:p>
    <w:p w14:paraId="40F118B2" w14:textId="742F35DD" w:rsidR="0048659F" w:rsidRDefault="0048659F" w:rsidP="0048659F">
      <w:pPr>
        <w:spacing w:after="160" w:line="259" w:lineRule="auto"/>
        <w:jc w:val="both"/>
        <w:rPr>
          <w:rFonts w:ascii="Book Antiqua" w:hAnsi="Book Antiqua"/>
          <w:b/>
          <w:i/>
          <w:iCs/>
          <w:kern w:val="2"/>
          <w:sz w:val="24"/>
          <w:szCs w:val="24"/>
          <w14:ligatures w14:val="standardContextual"/>
        </w:rPr>
      </w:pPr>
      <w:r w:rsidRPr="0048659F">
        <w:rPr>
          <w:rFonts w:cs="Montserrat"/>
          <w:color w:val="000000"/>
          <w:sz w:val="24"/>
          <w:szCs w:val="24"/>
        </w:rPr>
        <w:t xml:space="preserve">Anche </w:t>
      </w:r>
      <w:r w:rsidR="00AB3483" w:rsidRPr="0048659F">
        <w:rPr>
          <w:rFonts w:cs="Montserrat"/>
          <w:color w:val="000000"/>
          <w:sz w:val="24"/>
          <w:szCs w:val="24"/>
        </w:rPr>
        <w:t>l’Ufficio</w:t>
      </w:r>
      <w:r w:rsidRPr="0048659F">
        <w:rPr>
          <w:rFonts w:cs="Montserrat"/>
          <w:color w:val="000000"/>
          <w:sz w:val="24"/>
          <w:szCs w:val="24"/>
        </w:rPr>
        <w:t xml:space="preserve"> Parlamentare di Bilancio, in occasione della relazione alla legge di bilancio 2024, ha avuto modo di esprimere </w:t>
      </w:r>
      <w:r>
        <w:rPr>
          <w:rFonts w:cs="Montserrat"/>
          <w:color w:val="000000"/>
          <w:sz w:val="24"/>
          <w:szCs w:val="24"/>
        </w:rPr>
        <w:t>“</w:t>
      </w:r>
      <w:r w:rsidRPr="00586372">
        <w:rPr>
          <w:rFonts w:cs="Montserrat"/>
          <w:b/>
          <w:i/>
          <w:iCs/>
          <w:color w:val="000000"/>
          <w:sz w:val="24"/>
          <w:szCs w:val="24"/>
        </w:rPr>
        <w:t>preoccupazione circa</w:t>
      </w:r>
      <w:r w:rsidRPr="00586372">
        <w:rPr>
          <w:rFonts w:cs="Montserrat"/>
          <w:b/>
          <w:color w:val="000000"/>
          <w:sz w:val="24"/>
          <w:szCs w:val="24"/>
        </w:rPr>
        <w:t xml:space="preserve"> </w:t>
      </w:r>
      <w:r w:rsidRPr="00586372">
        <w:rPr>
          <w:rFonts w:cs="Montserrat"/>
          <w:b/>
          <w:i/>
          <w:iCs/>
          <w:color w:val="000000"/>
          <w:sz w:val="24"/>
          <w:szCs w:val="24"/>
        </w:rPr>
        <w:t xml:space="preserve">l’introduzione di una spending review prima che si completi il processo di ricostruzione di spazi di autonomia per le Province e le </w:t>
      </w:r>
      <w:r w:rsidR="004F02DA" w:rsidRPr="00586372">
        <w:rPr>
          <w:rFonts w:cs="Montserrat"/>
          <w:b/>
          <w:i/>
          <w:iCs/>
          <w:color w:val="000000"/>
          <w:sz w:val="24"/>
          <w:szCs w:val="24"/>
        </w:rPr>
        <w:t>C</w:t>
      </w:r>
      <w:r w:rsidRPr="00586372">
        <w:rPr>
          <w:rFonts w:cs="Montserrat"/>
          <w:b/>
          <w:i/>
          <w:iCs/>
          <w:color w:val="000000"/>
          <w:sz w:val="24"/>
          <w:szCs w:val="24"/>
        </w:rPr>
        <w:t>ittà metropolitane avviato nel 2022 con l’istituzione dei fondi perequativi e che si dovrebbe completare con l’attuazione della delega fiscale</w:t>
      </w:r>
      <w:r w:rsidRPr="00586372">
        <w:rPr>
          <w:rFonts w:ascii="Book Antiqua" w:hAnsi="Book Antiqua"/>
          <w:b/>
          <w:i/>
          <w:iCs/>
          <w:kern w:val="2"/>
          <w:sz w:val="24"/>
          <w:szCs w:val="24"/>
          <w14:ligatures w14:val="standardContextual"/>
        </w:rPr>
        <w:t>”.</w:t>
      </w:r>
    </w:p>
    <w:p w14:paraId="725F7FF4" w14:textId="1A10492F" w:rsidR="004F02DA" w:rsidRPr="005E58AE" w:rsidRDefault="00AB3483" w:rsidP="005E58AE">
      <w:pPr>
        <w:pStyle w:val="Paragrafoelenco"/>
        <w:numPr>
          <w:ilvl w:val="0"/>
          <w:numId w:val="10"/>
        </w:numPr>
        <w:rPr>
          <w:rFonts w:cs="Montserrat"/>
          <w:b/>
          <w:bCs/>
          <w:color w:val="000000"/>
          <w:sz w:val="24"/>
          <w:szCs w:val="24"/>
        </w:rPr>
      </w:pPr>
      <w:r w:rsidRPr="005E58AE">
        <w:rPr>
          <w:rFonts w:ascii="Book Antiqua" w:hAnsi="Book Antiqua"/>
          <w:b/>
          <w:i/>
          <w:iCs/>
          <w:kern w:val="2"/>
          <w:sz w:val="24"/>
          <w:szCs w:val="24"/>
          <w14:ligatures w14:val="standardContextual"/>
        </w:rPr>
        <w:br w:type="page"/>
      </w:r>
      <w:r w:rsidR="004F02DA" w:rsidRPr="005E58AE">
        <w:rPr>
          <w:rFonts w:cs="Montserrat"/>
          <w:b/>
          <w:bCs/>
          <w:color w:val="000000"/>
          <w:sz w:val="24"/>
          <w:szCs w:val="24"/>
        </w:rPr>
        <w:t xml:space="preserve">L’attuazione della legge delega fiscale. </w:t>
      </w:r>
    </w:p>
    <w:p w14:paraId="19CE9A03" w14:textId="2602F470" w:rsidR="00F36F6C" w:rsidRDefault="004F02DA" w:rsidP="004F02DA">
      <w:pPr>
        <w:spacing w:after="160" w:line="259" w:lineRule="auto"/>
        <w:jc w:val="both"/>
        <w:rPr>
          <w:rFonts w:cs="Montserrat"/>
          <w:color w:val="000000"/>
          <w:sz w:val="24"/>
          <w:szCs w:val="24"/>
        </w:rPr>
      </w:pPr>
      <w:r w:rsidRPr="00F36F6C">
        <w:rPr>
          <w:rFonts w:cs="Montserrat"/>
          <w:color w:val="000000"/>
          <w:sz w:val="24"/>
          <w:szCs w:val="24"/>
        </w:rPr>
        <w:t xml:space="preserve">La costruzione del nuovo sistema fiscale </w:t>
      </w:r>
      <w:r w:rsidR="00F36F6C" w:rsidRPr="00F36F6C">
        <w:rPr>
          <w:rFonts w:cs="Montserrat"/>
          <w:color w:val="000000"/>
          <w:sz w:val="24"/>
          <w:szCs w:val="24"/>
        </w:rPr>
        <w:t xml:space="preserve">del Paese, che </w:t>
      </w:r>
      <w:r w:rsidR="00BB0652">
        <w:rPr>
          <w:rFonts w:cs="Montserrat"/>
          <w:color w:val="000000"/>
          <w:sz w:val="24"/>
          <w:szCs w:val="24"/>
        </w:rPr>
        <w:t>scaturirà</w:t>
      </w:r>
      <w:r w:rsidR="00F36F6C" w:rsidRPr="00F36F6C">
        <w:rPr>
          <w:rFonts w:cs="Montserrat"/>
          <w:color w:val="000000"/>
          <w:sz w:val="24"/>
          <w:szCs w:val="24"/>
        </w:rPr>
        <w:t xml:space="preserve"> </w:t>
      </w:r>
      <w:r w:rsidR="00BB0652">
        <w:rPr>
          <w:rFonts w:cs="Montserrat"/>
          <w:color w:val="000000"/>
          <w:sz w:val="24"/>
          <w:szCs w:val="24"/>
        </w:rPr>
        <w:t>dal</w:t>
      </w:r>
      <w:r w:rsidR="00F36F6C" w:rsidRPr="004F02DA">
        <w:rPr>
          <w:rFonts w:cs="Montserrat"/>
          <w:color w:val="000000"/>
          <w:sz w:val="24"/>
          <w:szCs w:val="24"/>
        </w:rPr>
        <w:t>l</w:t>
      </w:r>
      <w:r w:rsidR="00BB0652">
        <w:rPr>
          <w:rFonts w:cs="Montserrat"/>
          <w:color w:val="000000"/>
          <w:sz w:val="24"/>
          <w:szCs w:val="24"/>
        </w:rPr>
        <w:t xml:space="preserve">’attuazione della </w:t>
      </w:r>
      <w:r w:rsidR="00F36F6C" w:rsidRPr="004F02DA">
        <w:rPr>
          <w:rFonts w:cs="Montserrat"/>
          <w:color w:val="000000"/>
          <w:sz w:val="24"/>
          <w:szCs w:val="24"/>
        </w:rPr>
        <w:t xml:space="preserve">legge delega </w:t>
      </w:r>
      <w:r w:rsidR="00BB0652">
        <w:rPr>
          <w:rFonts w:cs="Montserrat"/>
          <w:color w:val="000000"/>
          <w:sz w:val="24"/>
          <w:szCs w:val="24"/>
        </w:rPr>
        <w:t>(L.</w:t>
      </w:r>
      <w:r w:rsidR="00AB3483">
        <w:rPr>
          <w:rFonts w:cs="Montserrat"/>
          <w:color w:val="000000"/>
          <w:sz w:val="24"/>
          <w:szCs w:val="24"/>
        </w:rPr>
        <w:t>1</w:t>
      </w:r>
      <w:r w:rsidR="00BB0652">
        <w:rPr>
          <w:rFonts w:cs="Montserrat"/>
          <w:color w:val="000000"/>
          <w:sz w:val="24"/>
          <w:szCs w:val="24"/>
        </w:rPr>
        <w:t>11/23)</w:t>
      </w:r>
      <w:r w:rsidR="00F36F6C">
        <w:rPr>
          <w:rFonts w:cs="Montserrat"/>
          <w:color w:val="000000"/>
          <w:sz w:val="24"/>
          <w:szCs w:val="24"/>
        </w:rPr>
        <w:t xml:space="preserve">, </w:t>
      </w:r>
      <w:r w:rsidRPr="00F36F6C">
        <w:rPr>
          <w:rFonts w:cs="Montserrat"/>
          <w:color w:val="000000"/>
          <w:sz w:val="24"/>
          <w:szCs w:val="24"/>
        </w:rPr>
        <w:t xml:space="preserve">deve essere l’occasione per </w:t>
      </w:r>
      <w:r w:rsidR="00F36F6C" w:rsidRPr="00F36F6C">
        <w:rPr>
          <w:rFonts w:cs="Montserrat"/>
          <w:color w:val="000000"/>
          <w:sz w:val="24"/>
          <w:szCs w:val="24"/>
        </w:rPr>
        <w:t xml:space="preserve">operare </w:t>
      </w:r>
      <w:r w:rsidR="00F36F6C" w:rsidRPr="004F02DA">
        <w:rPr>
          <w:rFonts w:cs="Montserrat"/>
          <w:color w:val="000000"/>
          <w:sz w:val="24"/>
          <w:szCs w:val="24"/>
        </w:rPr>
        <w:t xml:space="preserve">una profonda revisione del sistema tributario e </w:t>
      </w:r>
      <w:r w:rsidR="00F36F6C">
        <w:rPr>
          <w:rFonts w:cs="Montserrat"/>
          <w:color w:val="000000"/>
          <w:sz w:val="24"/>
          <w:szCs w:val="24"/>
        </w:rPr>
        <w:t>finanziario delle Province</w:t>
      </w:r>
      <w:r w:rsidR="00BB0652">
        <w:rPr>
          <w:rFonts w:cs="Montserrat"/>
          <w:color w:val="000000"/>
          <w:sz w:val="24"/>
          <w:szCs w:val="24"/>
        </w:rPr>
        <w:t xml:space="preserve"> e degli enti locali</w:t>
      </w:r>
      <w:r w:rsidR="00F36F6C">
        <w:rPr>
          <w:rFonts w:cs="Montserrat"/>
          <w:color w:val="000000"/>
          <w:sz w:val="24"/>
          <w:szCs w:val="24"/>
        </w:rPr>
        <w:t xml:space="preserve">. </w:t>
      </w:r>
    </w:p>
    <w:p w14:paraId="63491E26" w14:textId="4FCF3725" w:rsidR="004F02DA" w:rsidRPr="00AB3483" w:rsidRDefault="00F36F6C" w:rsidP="004F02DA">
      <w:pPr>
        <w:spacing w:after="160" w:line="259" w:lineRule="auto"/>
        <w:jc w:val="both"/>
        <w:rPr>
          <w:rFonts w:cs="Montserrat"/>
          <w:b/>
          <w:bCs/>
          <w:color w:val="000000"/>
          <w:sz w:val="24"/>
          <w:szCs w:val="24"/>
        </w:rPr>
      </w:pPr>
      <w:r w:rsidRPr="00AB3483">
        <w:rPr>
          <w:rFonts w:cs="Montserrat"/>
          <w:b/>
          <w:bCs/>
          <w:color w:val="000000"/>
          <w:sz w:val="24"/>
          <w:szCs w:val="24"/>
        </w:rPr>
        <w:t xml:space="preserve">L’attuazione dell’art. 14 della </w:t>
      </w:r>
      <w:r w:rsidR="00AB3483">
        <w:rPr>
          <w:rFonts w:cs="Montserrat"/>
          <w:b/>
          <w:bCs/>
          <w:color w:val="000000"/>
          <w:sz w:val="24"/>
          <w:szCs w:val="24"/>
        </w:rPr>
        <w:t>l</w:t>
      </w:r>
      <w:r w:rsidRPr="00AB3483">
        <w:rPr>
          <w:rFonts w:cs="Montserrat"/>
          <w:b/>
          <w:bCs/>
          <w:color w:val="000000"/>
          <w:sz w:val="24"/>
          <w:szCs w:val="24"/>
        </w:rPr>
        <w:t xml:space="preserve">egge </w:t>
      </w:r>
      <w:r w:rsidR="00AB3483">
        <w:rPr>
          <w:rFonts w:cs="Montserrat"/>
          <w:b/>
          <w:bCs/>
          <w:color w:val="000000"/>
          <w:sz w:val="24"/>
          <w:szCs w:val="24"/>
        </w:rPr>
        <w:t xml:space="preserve">delega </w:t>
      </w:r>
      <w:r w:rsidRPr="00AB3483">
        <w:rPr>
          <w:rFonts w:cs="Montserrat"/>
          <w:b/>
          <w:bCs/>
          <w:color w:val="000000"/>
          <w:sz w:val="24"/>
          <w:szCs w:val="24"/>
        </w:rPr>
        <w:t xml:space="preserve">deve risolvere lo </w:t>
      </w:r>
      <w:r w:rsidR="004F02DA" w:rsidRPr="00AB3483">
        <w:rPr>
          <w:rFonts w:cs="Montserrat"/>
          <w:b/>
          <w:bCs/>
          <w:color w:val="000000"/>
          <w:sz w:val="24"/>
          <w:szCs w:val="24"/>
        </w:rPr>
        <w:t xml:space="preserve">squilibrio finanziario accertato per Province e Città Metropolitane; l’obiettivo in prospettiva deve essere quello di alleggerirlo fino al completo azzeramento. </w:t>
      </w:r>
    </w:p>
    <w:p w14:paraId="1190E81B" w14:textId="15447864" w:rsidR="00F36F6C" w:rsidRDefault="00F36F6C" w:rsidP="00F36F6C">
      <w:pPr>
        <w:spacing w:after="160" w:line="259" w:lineRule="auto"/>
        <w:jc w:val="both"/>
        <w:rPr>
          <w:rFonts w:ascii="Book Antiqua" w:hAnsi="Book Antiqua"/>
          <w:kern w:val="2"/>
          <w:sz w:val="24"/>
          <w:szCs w:val="24"/>
          <w14:ligatures w14:val="standardContextual"/>
        </w:rPr>
      </w:pPr>
      <w:r w:rsidRPr="00AB3483">
        <w:rPr>
          <w:rFonts w:cs="Montserrat"/>
          <w:b/>
          <w:bCs/>
          <w:color w:val="000000"/>
          <w:sz w:val="24"/>
          <w:szCs w:val="24"/>
        </w:rPr>
        <w:t>L’Ufficio Parlamentare di Bilancio ha evidenziato infatti</w:t>
      </w:r>
      <w:r w:rsidRPr="00F36F6C">
        <w:rPr>
          <w:rFonts w:cs="Montserrat"/>
          <w:color w:val="000000"/>
          <w:sz w:val="24"/>
          <w:szCs w:val="24"/>
        </w:rPr>
        <w:t xml:space="preserve"> che</w:t>
      </w:r>
      <w:proofErr w:type="gramStart"/>
      <w:r w:rsidRPr="00F36F6C">
        <w:rPr>
          <w:rFonts w:cs="Montserrat"/>
          <w:color w:val="000000"/>
          <w:sz w:val="24"/>
          <w:szCs w:val="24"/>
        </w:rPr>
        <w:t xml:space="preserve"> ....</w:t>
      </w:r>
      <w:proofErr w:type="gramEnd"/>
      <w:r w:rsidR="00BB0652">
        <w:rPr>
          <w:rFonts w:cs="Montserrat"/>
          <w:color w:val="000000"/>
          <w:sz w:val="24"/>
          <w:szCs w:val="24"/>
        </w:rPr>
        <w:t>”</w:t>
      </w:r>
      <w:r w:rsidRPr="00F36F6C">
        <w:rPr>
          <w:rFonts w:cs="Montserrat"/>
          <w:i/>
          <w:iCs/>
          <w:color w:val="000000"/>
          <w:sz w:val="24"/>
          <w:szCs w:val="24"/>
        </w:rPr>
        <w:t>Occorre anche ricordare che le basi imponibili dei principali tributi propri provinciali, in particolare l’imposta provinciale di trascrizione (IPT) e l’imposta sulle assicurazioni sulla responsabilità civile auto (RC Auto),  mostrano segni strutturali di debolezza legati all’evoluzione del mercato dell’auto</w:t>
      </w:r>
      <w:r w:rsidR="00BB0652">
        <w:rPr>
          <w:rFonts w:cs="Montserrat"/>
          <w:i/>
          <w:iCs/>
          <w:color w:val="000000"/>
          <w:sz w:val="24"/>
          <w:szCs w:val="24"/>
        </w:rPr>
        <w:t>……..</w:t>
      </w:r>
      <w:r w:rsidRPr="00F36F6C">
        <w:rPr>
          <w:rFonts w:cs="Montserrat"/>
          <w:i/>
          <w:iCs/>
          <w:color w:val="000000"/>
          <w:sz w:val="24"/>
          <w:szCs w:val="24"/>
        </w:rPr>
        <w:t>. A questa criticità dovrebbe rispondere l’attuazione della delega fiscale (L. 111/2023, art. 14) che prevede l’istituzione di un tributo proprio destinato ad assicurare l’esercizio delle funzioni fondamentali, con adeguata manovrabilità, e una compartecipazione a un tributo erariale di carattere generale, anche in sostituzione di tributi attualmente esistenti</w:t>
      </w:r>
      <w:r w:rsidR="00BB0652">
        <w:rPr>
          <w:rFonts w:cs="Montserrat"/>
          <w:i/>
          <w:iCs/>
          <w:color w:val="000000"/>
          <w:sz w:val="24"/>
          <w:szCs w:val="24"/>
        </w:rPr>
        <w:t>”</w:t>
      </w:r>
      <w:r w:rsidRPr="00F36F6C">
        <w:rPr>
          <w:rFonts w:cs="Montserrat"/>
          <w:i/>
          <w:iCs/>
          <w:color w:val="000000"/>
          <w:sz w:val="24"/>
          <w:szCs w:val="24"/>
        </w:rPr>
        <w:t>.</w:t>
      </w:r>
      <w:r w:rsidRPr="00F36F6C">
        <w:rPr>
          <w:rFonts w:ascii="Book Antiqua" w:hAnsi="Book Antiqua"/>
          <w:kern w:val="2"/>
          <w:sz w:val="24"/>
          <w:szCs w:val="24"/>
          <w14:ligatures w14:val="standardContextual"/>
        </w:rPr>
        <w:t xml:space="preserve"> </w:t>
      </w:r>
    </w:p>
    <w:p w14:paraId="7B1A2B3C" w14:textId="1FA9F2BC" w:rsidR="00F36F6C" w:rsidRPr="00F36F6C" w:rsidRDefault="00F36F6C" w:rsidP="00F36F6C">
      <w:pPr>
        <w:spacing w:after="160" w:line="259" w:lineRule="auto"/>
        <w:jc w:val="both"/>
        <w:rPr>
          <w:rFonts w:cs="Montserrat"/>
          <w:color w:val="000000"/>
          <w:sz w:val="24"/>
          <w:szCs w:val="24"/>
        </w:rPr>
      </w:pPr>
      <w:r w:rsidRPr="00F36F6C">
        <w:rPr>
          <w:rFonts w:cs="Montserrat"/>
          <w:color w:val="000000"/>
          <w:sz w:val="24"/>
          <w:szCs w:val="24"/>
        </w:rPr>
        <w:t>La prospettiva di lavoro deve essere quella di individuare:</w:t>
      </w:r>
    </w:p>
    <w:p w14:paraId="35F98BEB" w14:textId="478F827B" w:rsidR="00F36F6C" w:rsidRDefault="00F36F6C" w:rsidP="00F36F6C">
      <w:pPr>
        <w:pStyle w:val="Paragrafoelenco"/>
        <w:numPr>
          <w:ilvl w:val="0"/>
          <w:numId w:val="15"/>
        </w:numPr>
        <w:tabs>
          <w:tab w:val="num" w:pos="720"/>
        </w:tabs>
        <w:spacing w:after="160" w:line="259" w:lineRule="auto"/>
        <w:jc w:val="both"/>
        <w:rPr>
          <w:rFonts w:cs="Montserrat"/>
          <w:color w:val="000000"/>
          <w:sz w:val="24"/>
          <w:szCs w:val="24"/>
        </w:rPr>
      </w:pPr>
      <w:r w:rsidRPr="00F36F6C">
        <w:rPr>
          <w:rFonts w:cs="Montserrat"/>
          <w:color w:val="000000"/>
          <w:sz w:val="24"/>
          <w:szCs w:val="24"/>
        </w:rPr>
        <w:t>una compartecipazione ad un tributo erariale sostitutivo di un’entrata provinciale prevedendo così un’entrata dinamica in sostituzione di imposta provinciale;</w:t>
      </w:r>
    </w:p>
    <w:p w14:paraId="5AEBF1FF" w14:textId="77777777" w:rsidR="00AB3483" w:rsidRPr="00F36F6C" w:rsidRDefault="00AB3483" w:rsidP="00AB3483">
      <w:pPr>
        <w:pStyle w:val="Paragrafoelenco"/>
        <w:spacing w:after="160" w:line="259" w:lineRule="auto"/>
        <w:jc w:val="both"/>
        <w:rPr>
          <w:rFonts w:cs="Montserrat"/>
          <w:color w:val="000000"/>
          <w:sz w:val="24"/>
          <w:szCs w:val="24"/>
        </w:rPr>
      </w:pPr>
    </w:p>
    <w:p w14:paraId="4179783C" w14:textId="39487233" w:rsidR="00F36F6C" w:rsidRDefault="00F36F6C" w:rsidP="00F36F6C">
      <w:pPr>
        <w:pStyle w:val="Paragrafoelenco"/>
        <w:numPr>
          <w:ilvl w:val="0"/>
          <w:numId w:val="15"/>
        </w:numPr>
        <w:tabs>
          <w:tab w:val="num" w:pos="720"/>
        </w:tabs>
        <w:spacing w:after="160" w:line="259" w:lineRule="auto"/>
        <w:jc w:val="both"/>
        <w:rPr>
          <w:rFonts w:cs="Montserrat"/>
          <w:color w:val="000000"/>
          <w:sz w:val="24"/>
          <w:szCs w:val="24"/>
        </w:rPr>
      </w:pPr>
      <w:r w:rsidRPr="00F36F6C">
        <w:rPr>
          <w:rFonts w:cs="Montserrat"/>
          <w:color w:val="000000"/>
          <w:sz w:val="24"/>
          <w:szCs w:val="24"/>
        </w:rPr>
        <w:t>uno specifico tributo provinciale caratterizzato da aumentata manovrabilità, con uniformità di applicazione e soprattutto privo di dinamiche foriere di fenomeni di dumping fiscale;</w:t>
      </w:r>
    </w:p>
    <w:p w14:paraId="1712D187" w14:textId="77777777" w:rsidR="00AB3483" w:rsidRPr="00AB3483" w:rsidRDefault="00AB3483" w:rsidP="00AB3483">
      <w:pPr>
        <w:pStyle w:val="Paragrafoelenco"/>
        <w:rPr>
          <w:rFonts w:cs="Montserrat"/>
          <w:color w:val="000000"/>
          <w:sz w:val="24"/>
          <w:szCs w:val="24"/>
        </w:rPr>
      </w:pPr>
    </w:p>
    <w:p w14:paraId="06E6CE98" w14:textId="2B51E12D" w:rsidR="00F36F6C" w:rsidRDefault="00F36F6C" w:rsidP="00F36F6C">
      <w:pPr>
        <w:pStyle w:val="Paragrafoelenco"/>
        <w:numPr>
          <w:ilvl w:val="0"/>
          <w:numId w:val="15"/>
        </w:numPr>
        <w:spacing w:after="160" w:line="259" w:lineRule="auto"/>
        <w:jc w:val="both"/>
        <w:rPr>
          <w:rFonts w:cs="Montserrat"/>
          <w:color w:val="000000"/>
          <w:sz w:val="24"/>
          <w:szCs w:val="24"/>
        </w:rPr>
      </w:pPr>
      <w:r w:rsidRPr="00F36F6C">
        <w:rPr>
          <w:rFonts w:cs="Montserrat"/>
          <w:color w:val="000000"/>
          <w:sz w:val="24"/>
          <w:szCs w:val="24"/>
        </w:rPr>
        <w:t>un sistema perequativo</w:t>
      </w:r>
      <w:r w:rsidR="00234D04">
        <w:rPr>
          <w:rFonts w:cs="Montserrat"/>
          <w:color w:val="000000"/>
          <w:sz w:val="24"/>
          <w:szCs w:val="24"/>
        </w:rPr>
        <w:t>,</w:t>
      </w:r>
      <w:r w:rsidRPr="00F36F6C">
        <w:rPr>
          <w:rFonts w:cs="Montserrat"/>
          <w:color w:val="000000"/>
          <w:sz w:val="24"/>
          <w:szCs w:val="24"/>
        </w:rPr>
        <w:t xml:space="preserve"> sia orizzontale che verticale, coerente con l’articolo 119 della Costituzione, prevedendo un fondo statale alimentato da risorse aggiuntive senza specifico vincolo di destinazione</w:t>
      </w:r>
      <w:r>
        <w:rPr>
          <w:rFonts w:cs="Montserrat"/>
          <w:color w:val="000000"/>
          <w:sz w:val="24"/>
          <w:szCs w:val="24"/>
        </w:rPr>
        <w:t>.</w:t>
      </w:r>
    </w:p>
    <w:p w14:paraId="5F4FD521" w14:textId="77777777" w:rsidR="00AB3483" w:rsidRDefault="00AB3483" w:rsidP="002234A6">
      <w:pPr>
        <w:spacing w:after="160" w:line="259" w:lineRule="auto"/>
        <w:jc w:val="both"/>
        <w:rPr>
          <w:rFonts w:cs="Montserrat"/>
          <w:b/>
          <w:color w:val="000000" w:themeColor="text1"/>
          <w:sz w:val="24"/>
          <w:szCs w:val="24"/>
        </w:rPr>
      </w:pPr>
    </w:p>
    <w:p w14:paraId="7807DD0F" w14:textId="72847A2C" w:rsidR="002A2998" w:rsidRPr="002A2998" w:rsidRDefault="002A2998" w:rsidP="002234A6">
      <w:pPr>
        <w:spacing w:after="160" w:line="259" w:lineRule="auto"/>
        <w:jc w:val="both"/>
        <w:rPr>
          <w:rFonts w:cs="Montserrat"/>
          <w:b/>
          <w:color w:val="FF0000"/>
          <w:sz w:val="24"/>
          <w:szCs w:val="24"/>
        </w:rPr>
      </w:pPr>
      <w:r w:rsidRPr="002077DF">
        <w:rPr>
          <w:rFonts w:cs="Montserrat"/>
          <w:b/>
          <w:color w:val="000000" w:themeColor="text1"/>
          <w:sz w:val="24"/>
          <w:szCs w:val="24"/>
        </w:rPr>
        <w:t>Solo una credibile e durevole autonomia finanziaria garantisce l’auton</w:t>
      </w:r>
      <w:r w:rsidR="00AF13AC" w:rsidRPr="002077DF">
        <w:rPr>
          <w:rFonts w:cs="Montserrat"/>
          <w:b/>
          <w:color w:val="000000" w:themeColor="text1"/>
          <w:sz w:val="24"/>
          <w:szCs w:val="24"/>
        </w:rPr>
        <w:t>omia sancita dalla Costituzione nell’esercizio delle funzioni fondamentali attribuite dalla legge.</w:t>
      </w:r>
    </w:p>
    <w:p w14:paraId="5E034BC7" w14:textId="14B0499A" w:rsidR="00AB3483" w:rsidRDefault="00AB3483">
      <w:pPr>
        <w:rPr>
          <w:rFonts w:cs="Montserrat"/>
          <w:color w:val="000000"/>
          <w:sz w:val="24"/>
          <w:szCs w:val="24"/>
        </w:rPr>
      </w:pPr>
      <w:r>
        <w:rPr>
          <w:rFonts w:cs="Montserrat"/>
          <w:color w:val="000000"/>
          <w:sz w:val="24"/>
          <w:szCs w:val="24"/>
        </w:rPr>
        <w:br w:type="page"/>
      </w:r>
    </w:p>
    <w:p w14:paraId="4A046107" w14:textId="77777777" w:rsidR="00F36F6C" w:rsidRDefault="00F36F6C" w:rsidP="004F02DA">
      <w:pPr>
        <w:spacing w:after="160" w:line="259" w:lineRule="auto"/>
        <w:jc w:val="both"/>
        <w:rPr>
          <w:rFonts w:cs="Montserrat"/>
          <w:color w:val="000000"/>
          <w:sz w:val="24"/>
          <w:szCs w:val="24"/>
        </w:rPr>
      </w:pPr>
    </w:p>
    <w:p w14:paraId="19E1E157" w14:textId="3CBDC4F8" w:rsidR="00845EAF" w:rsidRPr="00845EAF" w:rsidRDefault="00937E6E" w:rsidP="0000644B">
      <w:pPr>
        <w:pStyle w:val="Paragrafoelenco"/>
        <w:numPr>
          <w:ilvl w:val="0"/>
          <w:numId w:val="10"/>
        </w:numPr>
        <w:spacing w:before="0" w:after="0" w:line="240" w:lineRule="auto"/>
        <w:rPr>
          <w:rFonts w:ascii="Century Gothic" w:hAnsi="Century Gothic" w:cs="Century Gothic"/>
          <w:b/>
          <w:color w:val="FF0000"/>
          <w:sz w:val="23"/>
          <w:szCs w:val="23"/>
        </w:rPr>
      </w:pPr>
      <w:r w:rsidRPr="00845EAF">
        <w:rPr>
          <w:b/>
          <w:bCs/>
          <w:sz w:val="24"/>
          <w:szCs w:val="24"/>
        </w:rPr>
        <w:t>L</w:t>
      </w:r>
      <w:r w:rsidR="00A61853" w:rsidRPr="00845EAF">
        <w:rPr>
          <w:b/>
          <w:bCs/>
          <w:sz w:val="24"/>
          <w:szCs w:val="24"/>
        </w:rPr>
        <w:t>a</w:t>
      </w:r>
      <w:r w:rsidR="004E237A">
        <w:rPr>
          <w:b/>
          <w:bCs/>
          <w:sz w:val="24"/>
          <w:szCs w:val="24"/>
        </w:rPr>
        <w:t xml:space="preserve"> mancata </w:t>
      </w:r>
      <w:r w:rsidR="004E237A" w:rsidRPr="002077DF">
        <w:rPr>
          <w:b/>
          <w:bCs/>
          <w:sz w:val="24"/>
          <w:szCs w:val="24"/>
        </w:rPr>
        <w:t>revisione dell</w:t>
      </w:r>
      <w:r w:rsidR="002077DF">
        <w:rPr>
          <w:b/>
          <w:bCs/>
          <w:sz w:val="24"/>
          <w:szCs w:val="24"/>
        </w:rPr>
        <w:t>e norme ordinamentali</w:t>
      </w:r>
      <w:r w:rsidR="00A61853" w:rsidRPr="00845EAF">
        <w:rPr>
          <w:b/>
          <w:bCs/>
          <w:sz w:val="24"/>
          <w:szCs w:val="24"/>
        </w:rPr>
        <w:t xml:space="preserve"> dell</w:t>
      </w:r>
      <w:r w:rsidR="00137599" w:rsidRPr="00845EAF">
        <w:rPr>
          <w:b/>
          <w:bCs/>
          <w:sz w:val="24"/>
          <w:szCs w:val="24"/>
        </w:rPr>
        <w:t>e Province</w:t>
      </w:r>
      <w:r w:rsidR="00845EAF">
        <w:rPr>
          <w:b/>
          <w:bCs/>
          <w:sz w:val="24"/>
          <w:szCs w:val="24"/>
        </w:rPr>
        <w:t xml:space="preserve">: </w:t>
      </w:r>
      <w:r w:rsidR="004E237A">
        <w:rPr>
          <w:b/>
          <w:bCs/>
          <w:sz w:val="24"/>
          <w:szCs w:val="24"/>
        </w:rPr>
        <w:t xml:space="preserve">un vuoto ingiustificabile </w:t>
      </w:r>
    </w:p>
    <w:p w14:paraId="500B4697" w14:textId="77777777" w:rsidR="00845EAF" w:rsidRDefault="00845EAF" w:rsidP="005E58AE">
      <w:pPr>
        <w:spacing w:beforeAutospacing="1" w:after="100" w:afterAutospacing="1" w:line="240" w:lineRule="auto"/>
        <w:rPr>
          <w:b/>
          <w:bCs/>
          <w:sz w:val="24"/>
          <w:szCs w:val="24"/>
        </w:rPr>
      </w:pPr>
    </w:p>
    <w:p w14:paraId="63A24F55" w14:textId="044A4DB4" w:rsidR="00E83FFF" w:rsidRDefault="008552B0" w:rsidP="005E58AE">
      <w:pPr>
        <w:spacing w:beforeAutospacing="1" w:after="100" w:afterAutospacing="1" w:line="240" w:lineRule="auto"/>
        <w:jc w:val="both"/>
        <w:rPr>
          <w:sz w:val="24"/>
          <w:szCs w:val="24"/>
        </w:rPr>
      </w:pPr>
      <w:r w:rsidRPr="008552B0">
        <w:rPr>
          <w:sz w:val="24"/>
          <w:szCs w:val="24"/>
        </w:rPr>
        <w:t>Il DEF</w:t>
      </w:r>
      <w:r w:rsidR="002077DF">
        <w:rPr>
          <w:sz w:val="24"/>
          <w:szCs w:val="24"/>
        </w:rPr>
        <w:t xml:space="preserve"> </w:t>
      </w:r>
      <w:r w:rsidRPr="008552B0">
        <w:rPr>
          <w:sz w:val="24"/>
          <w:szCs w:val="24"/>
        </w:rPr>
        <w:t xml:space="preserve">2024 riporta </w:t>
      </w:r>
      <w:r w:rsidR="00E83FFF">
        <w:rPr>
          <w:sz w:val="24"/>
          <w:szCs w:val="24"/>
        </w:rPr>
        <w:t xml:space="preserve">nel </w:t>
      </w:r>
      <w:r w:rsidR="0049038C">
        <w:rPr>
          <w:sz w:val="24"/>
          <w:szCs w:val="24"/>
        </w:rPr>
        <w:t>“Programma Nazionale di Riforme”</w:t>
      </w:r>
      <w:r w:rsidRPr="008552B0">
        <w:rPr>
          <w:sz w:val="24"/>
          <w:szCs w:val="24"/>
        </w:rPr>
        <w:t xml:space="preserve"> </w:t>
      </w:r>
      <w:r w:rsidR="00E83FFF">
        <w:rPr>
          <w:sz w:val="24"/>
          <w:szCs w:val="24"/>
        </w:rPr>
        <w:t>l’</w:t>
      </w:r>
      <w:r w:rsidR="00E83FFF" w:rsidRPr="008552B0">
        <w:rPr>
          <w:sz w:val="24"/>
          <w:szCs w:val="24"/>
        </w:rPr>
        <w:t>elenco</w:t>
      </w:r>
      <w:r w:rsidRPr="008552B0">
        <w:rPr>
          <w:sz w:val="24"/>
          <w:szCs w:val="24"/>
        </w:rPr>
        <w:t xml:space="preserve"> delle </w:t>
      </w:r>
      <w:r>
        <w:rPr>
          <w:sz w:val="24"/>
          <w:szCs w:val="24"/>
        </w:rPr>
        <w:t>riforme in atto, evidenziandone lo stato di attuazione e i riflessi sul Paese.</w:t>
      </w:r>
      <w:r w:rsidR="00E83FFF">
        <w:rPr>
          <w:sz w:val="24"/>
          <w:szCs w:val="24"/>
        </w:rPr>
        <w:t xml:space="preserve"> Inoltre, richiama e riprende l’elenco dei DDL collegati alla Legge di Bilancio 2024 - tra cui </w:t>
      </w:r>
      <w:r w:rsidR="00285DB1">
        <w:rPr>
          <w:sz w:val="24"/>
          <w:szCs w:val="24"/>
        </w:rPr>
        <w:t xml:space="preserve">la </w:t>
      </w:r>
      <w:r w:rsidR="00E83FFF">
        <w:rPr>
          <w:sz w:val="24"/>
          <w:szCs w:val="24"/>
        </w:rPr>
        <w:t>riforma del TUEL - impegnando su questo il Governo</w:t>
      </w:r>
      <w:r w:rsidR="00285DB1">
        <w:rPr>
          <w:sz w:val="24"/>
          <w:szCs w:val="24"/>
        </w:rPr>
        <w:t xml:space="preserve">. </w:t>
      </w:r>
    </w:p>
    <w:p w14:paraId="6279C746" w14:textId="4C836FE9" w:rsidR="008552B0" w:rsidRDefault="00285DB1" w:rsidP="005E58AE">
      <w:pPr>
        <w:spacing w:beforeAutospacing="1" w:after="100" w:afterAutospacing="1" w:line="240" w:lineRule="auto"/>
        <w:jc w:val="both"/>
        <w:rPr>
          <w:sz w:val="24"/>
          <w:szCs w:val="24"/>
        </w:rPr>
      </w:pPr>
      <w:r>
        <w:rPr>
          <w:sz w:val="24"/>
          <w:szCs w:val="24"/>
        </w:rPr>
        <w:t>L’elenco, t</w:t>
      </w:r>
      <w:r w:rsidR="00E83FFF">
        <w:rPr>
          <w:sz w:val="24"/>
          <w:szCs w:val="24"/>
        </w:rPr>
        <w:t xml:space="preserve">uttavia, </w:t>
      </w:r>
      <w:r>
        <w:rPr>
          <w:sz w:val="24"/>
          <w:szCs w:val="24"/>
        </w:rPr>
        <w:t xml:space="preserve">presenta una lacuna che va colmata, poiché non contempla tra le misure strategiche per </w:t>
      </w:r>
      <w:r w:rsidR="00E83FFF">
        <w:rPr>
          <w:sz w:val="24"/>
          <w:szCs w:val="24"/>
        </w:rPr>
        <w:t>l</w:t>
      </w:r>
      <w:r>
        <w:rPr>
          <w:sz w:val="24"/>
          <w:szCs w:val="24"/>
        </w:rPr>
        <w:t>a</w:t>
      </w:r>
      <w:r w:rsidR="00E83FFF">
        <w:rPr>
          <w:sz w:val="24"/>
          <w:szCs w:val="24"/>
        </w:rPr>
        <w:t xml:space="preserve"> modernizzazione e </w:t>
      </w:r>
      <w:r>
        <w:rPr>
          <w:sz w:val="24"/>
          <w:szCs w:val="24"/>
        </w:rPr>
        <w:t>l’</w:t>
      </w:r>
      <w:r w:rsidR="00E83FFF">
        <w:rPr>
          <w:sz w:val="24"/>
          <w:szCs w:val="24"/>
        </w:rPr>
        <w:t xml:space="preserve">efficientamento della PA, </w:t>
      </w:r>
      <w:r>
        <w:rPr>
          <w:sz w:val="24"/>
          <w:szCs w:val="24"/>
        </w:rPr>
        <w:t xml:space="preserve">la revisione </w:t>
      </w:r>
      <w:r w:rsidR="00E83FFF">
        <w:rPr>
          <w:sz w:val="24"/>
          <w:szCs w:val="24"/>
        </w:rPr>
        <w:t xml:space="preserve">della disciplina </w:t>
      </w:r>
      <w:r>
        <w:rPr>
          <w:sz w:val="24"/>
          <w:szCs w:val="24"/>
        </w:rPr>
        <w:t xml:space="preserve">ordinamentale </w:t>
      </w:r>
      <w:r w:rsidR="00E83FFF">
        <w:rPr>
          <w:sz w:val="24"/>
          <w:szCs w:val="24"/>
        </w:rPr>
        <w:t>delle Province</w:t>
      </w:r>
      <w:r w:rsidR="008552B0">
        <w:rPr>
          <w:sz w:val="24"/>
          <w:szCs w:val="24"/>
        </w:rPr>
        <w:t xml:space="preserve"> </w:t>
      </w:r>
      <w:r w:rsidR="00E83FFF">
        <w:rPr>
          <w:sz w:val="24"/>
          <w:szCs w:val="24"/>
        </w:rPr>
        <w:t xml:space="preserve">(Legge 56/14), avviate con celerità dal Senato della Repubblica, ma su cui la discussione è ferma ormai da mesi. </w:t>
      </w:r>
    </w:p>
    <w:p w14:paraId="60C16019" w14:textId="0252DDA5" w:rsidR="00E8683D" w:rsidRPr="008552B0" w:rsidRDefault="00E8683D" w:rsidP="005E58AE">
      <w:pPr>
        <w:spacing w:beforeAutospacing="1" w:after="100" w:afterAutospacing="1" w:line="240" w:lineRule="auto"/>
        <w:jc w:val="both"/>
        <w:rPr>
          <w:rFonts w:cs="Montserrat"/>
          <w:color w:val="000000"/>
          <w:sz w:val="24"/>
          <w:szCs w:val="24"/>
        </w:rPr>
      </w:pPr>
      <w:r w:rsidRPr="008552B0">
        <w:rPr>
          <w:rFonts w:cs="Montserrat"/>
          <w:color w:val="000000"/>
          <w:sz w:val="24"/>
          <w:szCs w:val="24"/>
        </w:rPr>
        <w:t xml:space="preserve">Il superamento della prospettiva della legge 56/14 e il ripristino di un quadro di certezze istituzionali per le Province, riportando il loro ordinamento nel TUEL, </w:t>
      </w:r>
      <w:r w:rsidR="008C4072">
        <w:rPr>
          <w:rFonts w:cs="Montserrat"/>
          <w:color w:val="000000"/>
          <w:sz w:val="24"/>
          <w:szCs w:val="24"/>
        </w:rPr>
        <w:t xml:space="preserve">insieme </w:t>
      </w:r>
      <w:r w:rsidRPr="008552B0">
        <w:rPr>
          <w:rFonts w:cs="Montserrat"/>
          <w:color w:val="000000"/>
          <w:sz w:val="24"/>
          <w:szCs w:val="24"/>
        </w:rPr>
        <w:t xml:space="preserve">costituiscono </w:t>
      </w:r>
      <w:r>
        <w:rPr>
          <w:rFonts w:cs="Montserrat"/>
          <w:color w:val="000000"/>
          <w:sz w:val="24"/>
          <w:szCs w:val="24"/>
        </w:rPr>
        <w:t xml:space="preserve">infatti </w:t>
      </w:r>
      <w:r w:rsidRPr="008552B0">
        <w:rPr>
          <w:rFonts w:cs="Montserrat"/>
          <w:color w:val="000000"/>
          <w:sz w:val="24"/>
          <w:szCs w:val="24"/>
        </w:rPr>
        <w:t>la premessa necessaria per la definizione di un contesto normativo stabile a cui si possa ricollegare la ripresa di una strategia coerente di attuazione della Costituzione.</w:t>
      </w:r>
    </w:p>
    <w:p w14:paraId="47BEFE64" w14:textId="5BEC4F30" w:rsidR="008552B0" w:rsidRDefault="008552B0" w:rsidP="005E58AE">
      <w:pPr>
        <w:spacing w:beforeAutospacing="1" w:after="100" w:afterAutospacing="1" w:line="240" w:lineRule="auto"/>
        <w:jc w:val="both"/>
        <w:rPr>
          <w:rFonts w:cs="Montserrat"/>
          <w:color w:val="000000"/>
          <w:sz w:val="24"/>
          <w:szCs w:val="24"/>
        </w:rPr>
      </w:pPr>
      <w:r w:rsidRPr="008552B0">
        <w:rPr>
          <w:rFonts w:cs="Montserrat"/>
          <w:color w:val="000000"/>
          <w:sz w:val="24"/>
          <w:szCs w:val="24"/>
        </w:rPr>
        <w:t>Dopo 10 anni dalla legge 56/14 e 8 anni dal fallimento della riforma costituzionale che prevedeva il superamento delle Province, è dunque essenziale approv</w:t>
      </w:r>
      <w:r w:rsidR="00E8683D">
        <w:rPr>
          <w:rFonts w:cs="Montserrat"/>
          <w:color w:val="000000"/>
          <w:sz w:val="24"/>
          <w:szCs w:val="24"/>
        </w:rPr>
        <w:t>are</w:t>
      </w:r>
      <w:r w:rsidRPr="008552B0">
        <w:rPr>
          <w:rFonts w:cs="Montserrat"/>
          <w:color w:val="000000"/>
          <w:sz w:val="24"/>
          <w:szCs w:val="24"/>
        </w:rPr>
        <w:t xml:space="preserve"> una legge di riordino della disciplina delle Province che sia coerente con l’attuale quadro costituzionale e dia piena attuazione agli articoli 5, 114, 117, 118 e 119 della Costituzione</w:t>
      </w:r>
      <w:r w:rsidR="00FF0DBD">
        <w:rPr>
          <w:rFonts w:cs="Montserrat"/>
          <w:color w:val="000000"/>
          <w:sz w:val="24"/>
          <w:szCs w:val="24"/>
        </w:rPr>
        <w:t xml:space="preserve"> e con la Carta Europea delle autonomie locali.</w:t>
      </w:r>
    </w:p>
    <w:p w14:paraId="053659E7" w14:textId="2EC97DC8" w:rsidR="00FF0DBD" w:rsidRPr="00FF0DBD" w:rsidRDefault="00FF0DBD" w:rsidP="005E58AE">
      <w:pPr>
        <w:autoSpaceDE w:val="0"/>
        <w:autoSpaceDN w:val="0"/>
        <w:adjustRightInd w:val="0"/>
        <w:spacing w:beforeAutospacing="1" w:after="100" w:afterAutospacing="1" w:line="240" w:lineRule="auto"/>
        <w:jc w:val="both"/>
        <w:rPr>
          <w:rFonts w:cs="Montserrat"/>
          <w:color w:val="000000"/>
          <w:sz w:val="24"/>
          <w:szCs w:val="24"/>
        </w:rPr>
      </w:pPr>
      <w:r>
        <w:rPr>
          <w:rFonts w:cs="Montserrat"/>
          <w:color w:val="000000"/>
          <w:sz w:val="24"/>
          <w:szCs w:val="24"/>
        </w:rPr>
        <w:t>Ciò è ribadito anche nella raccomandazione che il Consiglio d’Europa ha inviato all’Italia, a seguito del Quarto Rapporto di Monitoraggio</w:t>
      </w:r>
      <w:r w:rsidRPr="00026575">
        <w:rPr>
          <w:rFonts w:ascii="Book Antiqua" w:hAnsi="Book Antiqua" w:cs="Book Antiqua"/>
          <w:color w:val="000000"/>
          <w:sz w:val="26"/>
          <w:szCs w:val="26"/>
        </w:rPr>
        <w:t xml:space="preserve"> </w:t>
      </w:r>
      <w:r w:rsidRPr="00FF0DBD">
        <w:rPr>
          <w:rFonts w:cs="Montserrat"/>
          <w:color w:val="000000"/>
          <w:sz w:val="24"/>
          <w:szCs w:val="24"/>
        </w:rPr>
        <w:t xml:space="preserve">della Carta europea delle Autonomie locali, che l’Italia ha ratificato ma che resta </w:t>
      </w:r>
      <w:r w:rsidR="00285DB1">
        <w:rPr>
          <w:rFonts w:cs="Montserrat"/>
          <w:color w:val="000000"/>
          <w:sz w:val="24"/>
          <w:szCs w:val="24"/>
        </w:rPr>
        <w:t>praticamente</w:t>
      </w:r>
      <w:r w:rsidRPr="00FF0DBD">
        <w:rPr>
          <w:rFonts w:cs="Montserrat"/>
          <w:color w:val="000000"/>
          <w:sz w:val="24"/>
          <w:szCs w:val="24"/>
        </w:rPr>
        <w:t xml:space="preserve"> </w:t>
      </w:r>
      <w:r w:rsidR="00285DB1">
        <w:rPr>
          <w:rFonts w:cs="Montserrat"/>
          <w:color w:val="000000"/>
          <w:sz w:val="24"/>
          <w:szCs w:val="24"/>
        </w:rPr>
        <w:t>inattuata</w:t>
      </w:r>
      <w:r w:rsidRPr="00FF0DBD">
        <w:rPr>
          <w:rFonts w:cs="Montserrat"/>
          <w:color w:val="000000"/>
          <w:sz w:val="24"/>
          <w:szCs w:val="24"/>
        </w:rPr>
        <w:t xml:space="preserve">. </w:t>
      </w:r>
    </w:p>
    <w:p w14:paraId="01E119FE" w14:textId="7735CB0B" w:rsidR="00FF0DBD" w:rsidRDefault="00FF0DBD" w:rsidP="005E58AE">
      <w:pPr>
        <w:autoSpaceDE w:val="0"/>
        <w:autoSpaceDN w:val="0"/>
        <w:adjustRightInd w:val="0"/>
        <w:spacing w:beforeAutospacing="1" w:after="100" w:afterAutospacing="1" w:line="240" w:lineRule="auto"/>
        <w:jc w:val="both"/>
        <w:rPr>
          <w:rFonts w:cs="Montserrat"/>
          <w:color w:val="000000"/>
          <w:sz w:val="24"/>
          <w:szCs w:val="24"/>
        </w:rPr>
      </w:pPr>
      <w:r w:rsidRPr="00FF0DBD">
        <w:rPr>
          <w:rFonts w:cs="Montserrat"/>
          <w:color w:val="000000"/>
          <w:sz w:val="24"/>
          <w:szCs w:val="24"/>
        </w:rPr>
        <w:t xml:space="preserve">Nella raccomandazione si </w:t>
      </w:r>
      <w:r>
        <w:rPr>
          <w:rFonts w:cs="Montserrat"/>
          <w:color w:val="000000"/>
          <w:sz w:val="24"/>
          <w:szCs w:val="24"/>
        </w:rPr>
        <w:t>afferma</w:t>
      </w:r>
      <w:r w:rsidRPr="00FF0DBD">
        <w:rPr>
          <w:rFonts w:cs="Montserrat"/>
          <w:color w:val="000000"/>
          <w:sz w:val="24"/>
          <w:szCs w:val="24"/>
        </w:rPr>
        <w:t xml:space="preserve"> l’urgenza di adeguare la normativa italiana alla Carta Europea, riportando le Province ad elezione diretta</w:t>
      </w:r>
      <w:r w:rsidR="00285DB1">
        <w:rPr>
          <w:rFonts w:cs="Montserrat"/>
          <w:color w:val="000000"/>
          <w:sz w:val="24"/>
          <w:szCs w:val="24"/>
        </w:rPr>
        <w:t xml:space="preserve"> e</w:t>
      </w:r>
      <w:r w:rsidRPr="00FF0DBD">
        <w:rPr>
          <w:rFonts w:cs="Montserrat"/>
          <w:color w:val="000000"/>
          <w:sz w:val="24"/>
          <w:szCs w:val="24"/>
        </w:rPr>
        <w:t xml:space="preserve"> ampliandone le funzioni, e parallelamente </w:t>
      </w:r>
      <w:r w:rsidR="00285DB1">
        <w:rPr>
          <w:rFonts w:cs="Montserrat"/>
          <w:color w:val="000000"/>
          <w:sz w:val="24"/>
          <w:szCs w:val="24"/>
        </w:rPr>
        <w:t xml:space="preserve">si ribadisce </w:t>
      </w:r>
      <w:r w:rsidRPr="00FF0DBD">
        <w:rPr>
          <w:rFonts w:cs="Montserrat"/>
          <w:color w:val="000000"/>
          <w:sz w:val="24"/>
          <w:szCs w:val="24"/>
        </w:rPr>
        <w:t xml:space="preserve">la necessità di garantire i fondi necessari per </w:t>
      </w:r>
      <w:r w:rsidR="00285DB1">
        <w:rPr>
          <w:rFonts w:cs="Montserrat"/>
          <w:color w:val="000000"/>
          <w:sz w:val="24"/>
          <w:szCs w:val="24"/>
        </w:rPr>
        <w:t>finanziare adeguatamente</w:t>
      </w:r>
      <w:r w:rsidRPr="00FF0DBD">
        <w:rPr>
          <w:rFonts w:cs="Montserrat"/>
          <w:color w:val="000000"/>
          <w:sz w:val="24"/>
          <w:szCs w:val="24"/>
        </w:rPr>
        <w:t xml:space="preserve"> le funzioni fondamentali.</w:t>
      </w:r>
    </w:p>
    <w:p w14:paraId="73E66E61" w14:textId="3032B7A4" w:rsidR="00AF13AC" w:rsidRDefault="004E237A" w:rsidP="005E58AE">
      <w:pPr>
        <w:pBdr>
          <w:top w:val="single" w:sz="4" w:space="1" w:color="auto"/>
          <w:left w:val="single" w:sz="4" w:space="4" w:color="auto"/>
          <w:bottom w:val="single" w:sz="4" w:space="1" w:color="auto"/>
          <w:right w:val="single" w:sz="4" w:space="4" w:color="auto"/>
        </w:pBdr>
        <w:spacing w:beforeAutospacing="1" w:after="100" w:afterAutospacing="1" w:line="240" w:lineRule="auto"/>
        <w:jc w:val="both"/>
        <w:rPr>
          <w:sz w:val="24"/>
          <w:szCs w:val="24"/>
        </w:rPr>
      </w:pPr>
      <w:r w:rsidRPr="000158B7">
        <w:rPr>
          <w:b/>
          <w:sz w:val="24"/>
          <w:szCs w:val="24"/>
        </w:rPr>
        <w:t xml:space="preserve">Al riguardo chiediamo al Parlamento che sia ribadita, nella risoluzione al DEF, la volontà di procedere speditamente ed entro la fine della legislatura, alla revisione delle norme ordinamentali delle Province, con una revisione del sistema elettorale e degli organi di governo, con la valorizzazione e il rafforzamento delle funzioni fondamentali e con misure atte a garantire le risorse necessarie ad assolvere il mandato amministrativo degli enti. </w:t>
      </w:r>
    </w:p>
    <w:sectPr w:rsidR="00AF13AC">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5C09B" w14:textId="77777777" w:rsidR="00C13A4F" w:rsidRDefault="00C13A4F" w:rsidP="00646E33">
      <w:pPr>
        <w:spacing w:before="0" w:after="0" w:line="240" w:lineRule="auto"/>
      </w:pPr>
      <w:r>
        <w:separator/>
      </w:r>
    </w:p>
  </w:endnote>
  <w:endnote w:type="continuationSeparator" w:id="0">
    <w:p w14:paraId="00FD470D" w14:textId="77777777" w:rsidR="00C13A4F" w:rsidRDefault="00C13A4F" w:rsidP="00646E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81778" w14:textId="77777777" w:rsidR="0071285C" w:rsidRDefault="007128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031854"/>
      <w:docPartObj>
        <w:docPartGallery w:val="Page Numbers (Bottom of Page)"/>
        <w:docPartUnique/>
      </w:docPartObj>
    </w:sdtPr>
    <w:sdtEndPr/>
    <w:sdtContent>
      <w:p w14:paraId="0E8136DA" w14:textId="42C46CE4" w:rsidR="0071285C" w:rsidRDefault="0071285C">
        <w:pPr>
          <w:pStyle w:val="Pidipagina"/>
          <w:jc w:val="right"/>
        </w:pPr>
        <w:r>
          <w:fldChar w:fldCharType="begin"/>
        </w:r>
        <w:r>
          <w:instrText>PAGE   \* MERGEFORMAT</w:instrText>
        </w:r>
        <w:r>
          <w:fldChar w:fldCharType="separate"/>
        </w:r>
        <w:r w:rsidR="00AF13AC">
          <w:rPr>
            <w:noProof/>
          </w:rPr>
          <w:t>9</w:t>
        </w:r>
        <w:r>
          <w:fldChar w:fldCharType="end"/>
        </w:r>
      </w:p>
    </w:sdtContent>
  </w:sdt>
  <w:p w14:paraId="1312D670" w14:textId="77777777" w:rsidR="0071285C" w:rsidRDefault="0071285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76241" w14:textId="77777777" w:rsidR="0071285C" w:rsidRDefault="007128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27DAC" w14:textId="77777777" w:rsidR="00C13A4F" w:rsidRDefault="00C13A4F" w:rsidP="00646E33">
      <w:pPr>
        <w:spacing w:before="0" w:after="0" w:line="240" w:lineRule="auto"/>
      </w:pPr>
      <w:r>
        <w:separator/>
      </w:r>
    </w:p>
  </w:footnote>
  <w:footnote w:type="continuationSeparator" w:id="0">
    <w:p w14:paraId="728B30B9" w14:textId="77777777" w:rsidR="00C13A4F" w:rsidRDefault="00C13A4F" w:rsidP="00646E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6EEB4" w14:textId="77777777" w:rsidR="0071285C" w:rsidRDefault="007128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DC64F" w14:textId="77777777" w:rsidR="0071285C" w:rsidRDefault="0071285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CB6B0" w14:textId="77777777" w:rsidR="0071285C" w:rsidRDefault="007128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72CF"/>
    <w:multiLevelType w:val="hybridMultilevel"/>
    <w:tmpl w:val="92204C38"/>
    <w:lvl w:ilvl="0" w:tplc="64FEF9EC">
      <w:numFmt w:val="bullet"/>
      <w:lvlText w:val="-"/>
      <w:lvlJc w:val="left"/>
      <w:pPr>
        <w:ind w:left="720" w:hanging="360"/>
      </w:pPr>
      <w:rPr>
        <w:rFonts w:ascii="Century Gothic" w:eastAsiaTheme="minorHAnsi" w:hAnsi="Century Gothic" w:cstheme="minorBid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15710"/>
    <w:multiLevelType w:val="hybridMultilevel"/>
    <w:tmpl w:val="CBDC621C"/>
    <w:lvl w:ilvl="0" w:tplc="57C47904">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9F5E33"/>
    <w:multiLevelType w:val="hybridMultilevel"/>
    <w:tmpl w:val="12C8FFE2"/>
    <w:lvl w:ilvl="0" w:tplc="276A9A14">
      <w:start w:val="1"/>
      <w:numFmt w:val="bullet"/>
      <w:lvlText w:val=""/>
      <w:lvlJc w:val="left"/>
      <w:pPr>
        <w:tabs>
          <w:tab w:val="num" w:pos="720"/>
        </w:tabs>
        <w:ind w:left="720" w:hanging="360"/>
      </w:pPr>
      <w:rPr>
        <w:rFonts w:ascii="Wingdings" w:hAnsi="Wingdings" w:hint="default"/>
      </w:rPr>
    </w:lvl>
    <w:lvl w:ilvl="1" w:tplc="8CD2D834" w:tentative="1">
      <w:start w:val="1"/>
      <w:numFmt w:val="bullet"/>
      <w:lvlText w:val=""/>
      <w:lvlJc w:val="left"/>
      <w:pPr>
        <w:tabs>
          <w:tab w:val="num" w:pos="1440"/>
        </w:tabs>
        <w:ind w:left="1440" w:hanging="360"/>
      </w:pPr>
      <w:rPr>
        <w:rFonts w:ascii="Wingdings" w:hAnsi="Wingdings" w:hint="default"/>
      </w:rPr>
    </w:lvl>
    <w:lvl w:ilvl="2" w:tplc="FC561804" w:tentative="1">
      <w:start w:val="1"/>
      <w:numFmt w:val="bullet"/>
      <w:lvlText w:val=""/>
      <w:lvlJc w:val="left"/>
      <w:pPr>
        <w:tabs>
          <w:tab w:val="num" w:pos="2160"/>
        </w:tabs>
        <w:ind w:left="2160" w:hanging="360"/>
      </w:pPr>
      <w:rPr>
        <w:rFonts w:ascii="Wingdings" w:hAnsi="Wingdings" w:hint="default"/>
      </w:rPr>
    </w:lvl>
    <w:lvl w:ilvl="3" w:tplc="D258119C" w:tentative="1">
      <w:start w:val="1"/>
      <w:numFmt w:val="bullet"/>
      <w:lvlText w:val=""/>
      <w:lvlJc w:val="left"/>
      <w:pPr>
        <w:tabs>
          <w:tab w:val="num" w:pos="2880"/>
        </w:tabs>
        <w:ind w:left="2880" w:hanging="360"/>
      </w:pPr>
      <w:rPr>
        <w:rFonts w:ascii="Wingdings" w:hAnsi="Wingdings" w:hint="default"/>
      </w:rPr>
    </w:lvl>
    <w:lvl w:ilvl="4" w:tplc="E77AD386" w:tentative="1">
      <w:start w:val="1"/>
      <w:numFmt w:val="bullet"/>
      <w:lvlText w:val=""/>
      <w:lvlJc w:val="left"/>
      <w:pPr>
        <w:tabs>
          <w:tab w:val="num" w:pos="3600"/>
        </w:tabs>
        <w:ind w:left="3600" w:hanging="360"/>
      </w:pPr>
      <w:rPr>
        <w:rFonts w:ascii="Wingdings" w:hAnsi="Wingdings" w:hint="default"/>
      </w:rPr>
    </w:lvl>
    <w:lvl w:ilvl="5" w:tplc="4C1A14A6" w:tentative="1">
      <w:start w:val="1"/>
      <w:numFmt w:val="bullet"/>
      <w:lvlText w:val=""/>
      <w:lvlJc w:val="left"/>
      <w:pPr>
        <w:tabs>
          <w:tab w:val="num" w:pos="4320"/>
        </w:tabs>
        <w:ind w:left="4320" w:hanging="360"/>
      </w:pPr>
      <w:rPr>
        <w:rFonts w:ascii="Wingdings" w:hAnsi="Wingdings" w:hint="default"/>
      </w:rPr>
    </w:lvl>
    <w:lvl w:ilvl="6" w:tplc="96C0AF1A" w:tentative="1">
      <w:start w:val="1"/>
      <w:numFmt w:val="bullet"/>
      <w:lvlText w:val=""/>
      <w:lvlJc w:val="left"/>
      <w:pPr>
        <w:tabs>
          <w:tab w:val="num" w:pos="5040"/>
        </w:tabs>
        <w:ind w:left="5040" w:hanging="360"/>
      </w:pPr>
      <w:rPr>
        <w:rFonts w:ascii="Wingdings" w:hAnsi="Wingdings" w:hint="default"/>
      </w:rPr>
    </w:lvl>
    <w:lvl w:ilvl="7" w:tplc="012E8A98" w:tentative="1">
      <w:start w:val="1"/>
      <w:numFmt w:val="bullet"/>
      <w:lvlText w:val=""/>
      <w:lvlJc w:val="left"/>
      <w:pPr>
        <w:tabs>
          <w:tab w:val="num" w:pos="5760"/>
        </w:tabs>
        <w:ind w:left="5760" w:hanging="360"/>
      </w:pPr>
      <w:rPr>
        <w:rFonts w:ascii="Wingdings" w:hAnsi="Wingdings" w:hint="default"/>
      </w:rPr>
    </w:lvl>
    <w:lvl w:ilvl="8" w:tplc="85F448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A64FD"/>
    <w:multiLevelType w:val="hybridMultilevel"/>
    <w:tmpl w:val="1C1CCDEE"/>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4" w15:restartNumberingAfterBreak="0">
    <w:nsid w:val="2E8B391D"/>
    <w:multiLevelType w:val="hybridMultilevel"/>
    <w:tmpl w:val="BC48A686"/>
    <w:lvl w:ilvl="0" w:tplc="041E563C">
      <w:start w:val="1"/>
      <w:numFmt w:val="bullet"/>
      <w:lvlText w:val="-"/>
      <w:lvlJc w:val="left"/>
      <w:pPr>
        <w:ind w:left="720" w:hanging="360"/>
      </w:pPr>
      <w:rPr>
        <w:rFonts w:ascii="Calibri" w:eastAsia="Calibr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B329BD"/>
    <w:multiLevelType w:val="hybridMultilevel"/>
    <w:tmpl w:val="AB72E40C"/>
    <w:lvl w:ilvl="0" w:tplc="CE007AD4">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6A33B9"/>
    <w:multiLevelType w:val="hybridMultilevel"/>
    <w:tmpl w:val="95708B5A"/>
    <w:lvl w:ilvl="0" w:tplc="64FEF9EC">
      <w:numFmt w:val="bullet"/>
      <w:lvlText w:val="-"/>
      <w:lvlJc w:val="left"/>
      <w:pPr>
        <w:ind w:left="720" w:hanging="360"/>
      </w:pPr>
      <w:rPr>
        <w:rFonts w:ascii="Century Gothic" w:eastAsiaTheme="minorHAnsi" w:hAnsi="Century Gothic" w:cstheme="minorBid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FF3711"/>
    <w:multiLevelType w:val="hybridMultilevel"/>
    <w:tmpl w:val="8A6851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382E04"/>
    <w:multiLevelType w:val="hybridMultilevel"/>
    <w:tmpl w:val="2F2C2EBC"/>
    <w:lvl w:ilvl="0" w:tplc="70F009AE">
      <w:start w:val="1"/>
      <w:numFmt w:val="bullet"/>
      <w:lvlText w:val=""/>
      <w:lvlJc w:val="left"/>
      <w:pPr>
        <w:tabs>
          <w:tab w:val="num" w:pos="720"/>
        </w:tabs>
        <w:ind w:left="720" w:hanging="360"/>
      </w:pPr>
      <w:rPr>
        <w:rFonts w:ascii="Wingdings" w:hAnsi="Wingdings" w:hint="default"/>
      </w:rPr>
    </w:lvl>
    <w:lvl w:ilvl="1" w:tplc="C0E25A0E" w:tentative="1">
      <w:start w:val="1"/>
      <w:numFmt w:val="bullet"/>
      <w:lvlText w:val=""/>
      <w:lvlJc w:val="left"/>
      <w:pPr>
        <w:tabs>
          <w:tab w:val="num" w:pos="1440"/>
        </w:tabs>
        <w:ind w:left="1440" w:hanging="360"/>
      </w:pPr>
      <w:rPr>
        <w:rFonts w:ascii="Wingdings" w:hAnsi="Wingdings" w:hint="default"/>
      </w:rPr>
    </w:lvl>
    <w:lvl w:ilvl="2" w:tplc="398065CC" w:tentative="1">
      <w:start w:val="1"/>
      <w:numFmt w:val="bullet"/>
      <w:lvlText w:val=""/>
      <w:lvlJc w:val="left"/>
      <w:pPr>
        <w:tabs>
          <w:tab w:val="num" w:pos="2160"/>
        </w:tabs>
        <w:ind w:left="2160" w:hanging="360"/>
      </w:pPr>
      <w:rPr>
        <w:rFonts w:ascii="Wingdings" w:hAnsi="Wingdings" w:hint="default"/>
      </w:rPr>
    </w:lvl>
    <w:lvl w:ilvl="3" w:tplc="D35019BC" w:tentative="1">
      <w:start w:val="1"/>
      <w:numFmt w:val="bullet"/>
      <w:lvlText w:val=""/>
      <w:lvlJc w:val="left"/>
      <w:pPr>
        <w:tabs>
          <w:tab w:val="num" w:pos="2880"/>
        </w:tabs>
        <w:ind w:left="2880" w:hanging="360"/>
      </w:pPr>
      <w:rPr>
        <w:rFonts w:ascii="Wingdings" w:hAnsi="Wingdings" w:hint="default"/>
      </w:rPr>
    </w:lvl>
    <w:lvl w:ilvl="4" w:tplc="8CC87102" w:tentative="1">
      <w:start w:val="1"/>
      <w:numFmt w:val="bullet"/>
      <w:lvlText w:val=""/>
      <w:lvlJc w:val="left"/>
      <w:pPr>
        <w:tabs>
          <w:tab w:val="num" w:pos="3600"/>
        </w:tabs>
        <w:ind w:left="3600" w:hanging="360"/>
      </w:pPr>
      <w:rPr>
        <w:rFonts w:ascii="Wingdings" w:hAnsi="Wingdings" w:hint="default"/>
      </w:rPr>
    </w:lvl>
    <w:lvl w:ilvl="5" w:tplc="DD92CC7A" w:tentative="1">
      <w:start w:val="1"/>
      <w:numFmt w:val="bullet"/>
      <w:lvlText w:val=""/>
      <w:lvlJc w:val="left"/>
      <w:pPr>
        <w:tabs>
          <w:tab w:val="num" w:pos="4320"/>
        </w:tabs>
        <w:ind w:left="4320" w:hanging="360"/>
      </w:pPr>
      <w:rPr>
        <w:rFonts w:ascii="Wingdings" w:hAnsi="Wingdings" w:hint="default"/>
      </w:rPr>
    </w:lvl>
    <w:lvl w:ilvl="6" w:tplc="FDDEB9FE" w:tentative="1">
      <w:start w:val="1"/>
      <w:numFmt w:val="bullet"/>
      <w:lvlText w:val=""/>
      <w:lvlJc w:val="left"/>
      <w:pPr>
        <w:tabs>
          <w:tab w:val="num" w:pos="5040"/>
        </w:tabs>
        <w:ind w:left="5040" w:hanging="360"/>
      </w:pPr>
      <w:rPr>
        <w:rFonts w:ascii="Wingdings" w:hAnsi="Wingdings" w:hint="default"/>
      </w:rPr>
    </w:lvl>
    <w:lvl w:ilvl="7" w:tplc="ECC85812" w:tentative="1">
      <w:start w:val="1"/>
      <w:numFmt w:val="bullet"/>
      <w:lvlText w:val=""/>
      <w:lvlJc w:val="left"/>
      <w:pPr>
        <w:tabs>
          <w:tab w:val="num" w:pos="5760"/>
        </w:tabs>
        <w:ind w:left="5760" w:hanging="360"/>
      </w:pPr>
      <w:rPr>
        <w:rFonts w:ascii="Wingdings" w:hAnsi="Wingdings" w:hint="default"/>
      </w:rPr>
    </w:lvl>
    <w:lvl w:ilvl="8" w:tplc="3578A8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90455A"/>
    <w:multiLevelType w:val="hybridMultilevel"/>
    <w:tmpl w:val="8466AE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90092E"/>
    <w:multiLevelType w:val="multilevel"/>
    <w:tmpl w:val="C8526C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8705481"/>
    <w:multiLevelType w:val="hybridMultilevel"/>
    <w:tmpl w:val="6786D6CC"/>
    <w:lvl w:ilvl="0" w:tplc="04100001">
      <w:start w:val="1"/>
      <w:numFmt w:val="bullet"/>
      <w:lvlText w:val=""/>
      <w:lvlJc w:val="left"/>
      <w:pPr>
        <w:ind w:left="502"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4A04A9"/>
    <w:multiLevelType w:val="hybridMultilevel"/>
    <w:tmpl w:val="EC42455A"/>
    <w:lvl w:ilvl="0" w:tplc="9B546C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4B2AA8"/>
    <w:multiLevelType w:val="hybridMultilevel"/>
    <w:tmpl w:val="B3EA8F14"/>
    <w:lvl w:ilvl="0" w:tplc="999CA3B2">
      <w:start w:val="1"/>
      <w:numFmt w:val="decimal"/>
      <w:lvlText w:val="%1."/>
      <w:lvlJc w:val="left"/>
      <w:pPr>
        <w:ind w:left="720" w:hanging="360"/>
      </w:pPr>
      <w:rPr>
        <w:rFonts w:hint="default"/>
        <w:b/>
        <w:bCs/>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EAA1336"/>
    <w:multiLevelType w:val="hybridMultilevel"/>
    <w:tmpl w:val="2E527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62899333">
    <w:abstractNumId w:val="12"/>
  </w:num>
  <w:num w:numId="2" w16cid:durableId="618411096">
    <w:abstractNumId w:val="14"/>
  </w:num>
  <w:num w:numId="3" w16cid:durableId="508449466">
    <w:abstractNumId w:val="3"/>
  </w:num>
  <w:num w:numId="4" w16cid:durableId="2045405304">
    <w:abstractNumId w:val="1"/>
  </w:num>
  <w:num w:numId="5" w16cid:durableId="1361782014">
    <w:abstractNumId w:val="7"/>
  </w:num>
  <w:num w:numId="6" w16cid:durableId="978192188">
    <w:abstractNumId w:val="4"/>
  </w:num>
  <w:num w:numId="7" w16cid:durableId="416248418">
    <w:abstractNumId w:val="10"/>
  </w:num>
  <w:num w:numId="8" w16cid:durableId="1628315971">
    <w:abstractNumId w:val="6"/>
  </w:num>
  <w:num w:numId="9" w16cid:durableId="1759904293">
    <w:abstractNumId w:val="0"/>
  </w:num>
  <w:num w:numId="10" w16cid:durableId="2034257293">
    <w:abstractNumId w:val="13"/>
  </w:num>
  <w:num w:numId="11" w16cid:durableId="420302813">
    <w:abstractNumId w:val="5"/>
  </w:num>
  <w:num w:numId="12" w16cid:durableId="585000352">
    <w:abstractNumId w:val="11"/>
  </w:num>
  <w:num w:numId="13" w16cid:durableId="164323589">
    <w:abstractNumId w:val="2"/>
  </w:num>
  <w:num w:numId="14" w16cid:durableId="269434148">
    <w:abstractNumId w:val="8"/>
  </w:num>
  <w:num w:numId="15" w16cid:durableId="51001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37"/>
    <w:rsid w:val="000017BE"/>
    <w:rsid w:val="0000644B"/>
    <w:rsid w:val="00011325"/>
    <w:rsid w:val="000158B7"/>
    <w:rsid w:val="000549CC"/>
    <w:rsid w:val="0008235F"/>
    <w:rsid w:val="00096B12"/>
    <w:rsid w:val="000A3B13"/>
    <w:rsid w:val="000C269A"/>
    <w:rsid w:val="000C6031"/>
    <w:rsid w:val="000E27D2"/>
    <w:rsid w:val="001075A7"/>
    <w:rsid w:val="00137599"/>
    <w:rsid w:val="00177D97"/>
    <w:rsid w:val="001A0D63"/>
    <w:rsid w:val="001A70EB"/>
    <w:rsid w:val="002077DF"/>
    <w:rsid w:val="0021456C"/>
    <w:rsid w:val="002234A6"/>
    <w:rsid w:val="00225356"/>
    <w:rsid w:val="00234D04"/>
    <w:rsid w:val="00251965"/>
    <w:rsid w:val="0028062A"/>
    <w:rsid w:val="00285DB1"/>
    <w:rsid w:val="00295760"/>
    <w:rsid w:val="002A2998"/>
    <w:rsid w:val="002D5CC4"/>
    <w:rsid w:val="002F2EB4"/>
    <w:rsid w:val="00380B01"/>
    <w:rsid w:val="00396A4D"/>
    <w:rsid w:val="003C7AC1"/>
    <w:rsid w:val="003D61A7"/>
    <w:rsid w:val="003F0B25"/>
    <w:rsid w:val="003F643F"/>
    <w:rsid w:val="00415959"/>
    <w:rsid w:val="004275DA"/>
    <w:rsid w:val="00430B2E"/>
    <w:rsid w:val="004325E3"/>
    <w:rsid w:val="00440ECE"/>
    <w:rsid w:val="00444C47"/>
    <w:rsid w:val="00455DF2"/>
    <w:rsid w:val="00467927"/>
    <w:rsid w:val="00476E0D"/>
    <w:rsid w:val="0048659F"/>
    <w:rsid w:val="0049038C"/>
    <w:rsid w:val="004D1F2A"/>
    <w:rsid w:val="004E237A"/>
    <w:rsid w:val="004F02DA"/>
    <w:rsid w:val="0050203A"/>
    <w:rsid w:val="0053157A"/>
    <w:rsid w:val="0053770D"/>
    <w:rsid w:val="005421B0"/>
    <w:rsid w:val="005837C8"/>
    <w:rsid w:val="00586372"/>
    <w:rsid w:val="00590BE4"/>
    <w:rsid w:val="005B0537"/>
    <w:rsid w:val="005E58AE"/>
    <w:rsid w:val="00600D76"/>
    <w:rsid w:val="00610D73"/>
    <w:rsid w:val="00644665"/>
    <w:rsid w:val="00646E33"/>
    <w:rsid w:val="006605E4"/>
    <w:rsid w:val="006718DA"/>
    <w:rsid w:val="00697034"/>
    <w:rsid w:val="006C1F74"/>
    <w:rsid w:val="006D5858"/>
    <w:rsid w:val="006E14F6"/>
    <w:rsid w:val="00711B8B"/>
    <w:rsid w:val="0071285C"/>
    <w:rsid w:val="00713770"/>
    <w:rsid w:val="007629CF"/>
    <w:rsid w:val="00764D9D"/>
    <w:rsid w:val="007730F0"/>
    <w:rsid w:val="0079146F"/>
    <w:rsid w:val="00796399"/>
    <w:rsid w:val="007D54D7"/>
    <w:rsid w:val="00815753"/>
    <w:rsid w:val="00817183"/>
    <w:rsid w:val="00821A5D"/>
    <w:rsid w:val="00845EAF"/>
    <w:rsid w:val="008552B0"/>
    <w:rsid w:val="0086679C"/>
    <w:rsid w:val="008710CE"/>
    <w:rsid w:val="008B54E1"/>
    <w:rsid w:val="008B5A35"/>
    <w:rsid w:val="008C4072"/>
    <w:rsid w:val="008C55BC"/>
    <w:rsid w:val="008D735F"/>
    <w:rsid w:val="008E2B3A"/>
    <w:rsid w:val="00917DDC"/>
    <w:rsid w:val="00937E6E"/>
    <w:rsid w:val="0094764B"/>
    <w:rsid w:val="00996459"/>
    <w:rsid w:val="009C1136"/>
    <w:rsid w:val="009E4296"/>
    <w:rsid w:val="00A056FC"/>
    <w:rsid w:val="00A260CE"/>
    <w:rsid w:val="00A2673B"/>
    <w:rsid w:val="00A322EA"/>
    <w:rsid w:val="00A343FF"/>
    <w:rsid w:val="00A60342"/>
    <w:rsid w:val="00A61853"/>
    <w:rsid w:val="00A7519F"/>
    <w:rsid w:val="00AB11D1"/>
    <w:rsid w:val="00AB3483"/>
    <w:rsid w:val="00AF13AC"/>
    <w:rsid w:val="00B33030"/>
    <w:rsid w:val="00B37F9C"/>
    <w:rsid w:val="00B47A02"/>
    <w:rsid w:val="00B72B6B"/>
    <w:rsid w:val="00BB0652"/>
    <w:rsid w:val="00BD7855"/>
    <w:rsid w:val="00BE0B64"/>
    <w:rsid w:val="00BF1770"/>
    <w:rsid w:val="00C13A4F"/>
    <w:rsid w:val="00C26C43"/>
    <w:rsid w:val="00C32929"/>
    <w:rsid w:val="00C3450A"/>
    <w:rsid w:val="00C826BE"/>
    <w:rsid w:val="00C93CFF"/>
    <w:rsid w:val="00CD6476"/>
    <w:rsid w:val="00CF36D5"/>
    <w:rsid w:val="00D50094"/>
    <w:rsid w:val="00DA3471"/>
    <w:rsid w:val="00DC23E3"/>
    <w:rsid w:val="00DE46AE"/>
    <w:rsid w:val="00DF2AB6"/>
    <w:rsid w:val="00E122DC"/>
    <w:rsid w:val="00E378CF"/>
    <w:rsid w:val="00E64B58"/>
    <w:rsid w:val="00E70661"/>
    <w:rsid w:val="00E83FFF"/>
    <w:rsid w:val="00E8683D"/>
    <w:rsid w:val="00EA5D97"/>
    <w:rsid w:val="00EA723F"/>
    <w:rsid w:val="00EC16D7"/>
    <w:rsid w:val="00ED6829"/>
    <w:rsid w:val="00F36F6C"/>
    <w:rsid w:val="00FA5BD5"/>
    <w:rsid w:val="00FC6A13"/>
    <w:rsid w:val="00FD4845"/>
    <w:rsid w:val="00FF0D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DB3B"/>
  <w15:chartTrackingRefBased/>
  <w15:docId w15:val="{0C7A2BE3-02DE-447B-8995-F1761890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t-I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69A"/>
  </w:style>
  <w:style w:type="paragraph" w:styleId="Titolo1">
    <w:name w:val="heading 1"/>
    <w:basedOn w:val="Normale"/>
    <w:next w:val="Normale"/>
    <w:link w:val="Titolo1Carattere"/>
    <w:uiPriority w:val="9"/>
    <w:qFormat/>
    <w:rsid w:val="000C269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0C269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0C269A"/>
    <w:pPr>
      <w:pBdr>
        <w:top w:val="single" w:sz="6" w:space="2" w:color="052F61" w:themeColor="accent1"/>
      </w:pBdr>
      <w:spacing w:before="300" w:after="0"/>
      <w:outlineLvl w:val="2"/>
    </w:pPr>
    <w:rPr>
      <w:caps/>
      <w:color w:val="021730" w:themeColor="accent1" w:themeShade="7F"/>
      <w:spacing w:val="15"/>
    </w:rPr>
  </w:style>
  <w:style w:type="paragraph" w:styleId="Titolo4">
    <w:name w:val="heading 4"/>
    <w:basedOn w:val="Normale"/>
    <w:next w:val="Normale"/>
    <w:link w:val="Titolo4Carattere"/>
    <w:uiPriority w:val="9"/>
    <w:semiHidden/>
    <w:unhideWhenUsed/>
    <w:qFormat/>
    <w:rsid w:val="000C269A"/>
    <w:pPr>
      <w:pBdr>
        <w:top w:val="dotted" w:sz="6" w:space="2" w:color="052F61" w:themeColor="accent1"/>
      </w:pBdr>
      <w:spacing w:before="200" w:after="0"/>
      <w:outlineLvl w:val="3"/>
    </w:pPr>
    <w:rPr>
      <w:caps/>
      <w:color w:val="032348" w:themeColor="accent1" w:themeShade="BF"/>
      <w:spacing w:val="10"/>
    </w:rPr>
  </w:style>
  <w:style w:type="paragraph" w:styleId="Titolo5">
    <w:name w:val="heading 5"/>
    <w:basedOn w:val="Normale"/>
    <w:next w:val="Normale"/>
    <w:link w:val="Titolo5Carattere"/>
    <w:uiPriority w:val="9"/>
    <w:semiHidden/>
    <w:unhideWhenUsed/>
    <w:qFormat/>
    <w:rsid w:val="000C269A"/>
    <w:pPr>
      <w:pBdr>
        <w:bottom w:val="single" w:sz="6" w:space="1" w:color="052F61" w:themeColor="accent1"/>
      </w:pBdr>
      <w:spacing w:before="200" w:after="0"/>
      <w:outlineLvl w:val="4"/>
    </w:pPr>
    <w:rPr>
      <w:caps/>
      <w:color w:val="032348" w:themeColor="accent1" w:themeShade="BF"/>
      <w:spacing w:val="10"/>
    </w:rPr>
  </w:style>
  <w:style w:type="paragraph" w:styleId="Titolo6">
    <w:name w:val="heading 6"/>
    <w:basedOn w:val="Normale"/>
    <w:next w:val="Normale"/>
    <w:link w:val="Titolo6Carattere"/>
    <w:uiPriority w:val="9"/>
    <w:semiHidden/>
    <w:unhideWhenUsed/>
    <w:qFormat/>
    <w:rsid w:val="000C269A"/>
    <w:pPr>
      <w:pBdr>
        <w:bottom w:val="dotted" w:sz="6" w:space="1" w:color="052F61" w:themeColor="accent1"/>
      </w:pBdr>
      <w:spacing w:before="200" w:after="0"/>
      <w:outlineLvl w:val="5"/>
    </w:pPr>
    <w:rPr>
      <w:caps/>
      <w:color w:val="032348" w:themeColor="accent1" w:themeShade="BF"/>
      <w:spacing w:val="10"/>
    </w:rPr>
  </w:style>
  <w:style w:type="paragraph" w:styleId="Titolo7">
    <w:name w:val="heading 7"/>
    <w:basedOn w:val="Normale"/>
    <w:next w:val="Normale"/>
    <w:link w:val="Titolo7Carattere"/>
    <w:uiPriority w:val="9"/>
    <w:semiHidden/>
    <w:unhideWhenUsed/>
    <w:qFormat/>
    <w:rsid w:val="000C269A"/>
    <w:pPr>
      <w:spacing w:before="200" w:after="0"/>
      <w:outlineLvl w:val="6"/>
    </w:pPr>
    <w:rPr>
      <w:caps/>
      <w:color w:val="032348" w:themeColor="accent1" w:themeShade="BF"/>
      <w:spacing w:val="10"/>
    </w:rPr>
  </w:style>
  <w:style w:type="paragraph" w:styleId="Titolo8">
    <w:name w:val="heading 8"/>
    <w:basedOn w:val="Normale"/>
    <w:next w:val="Normale"/>
    <w:link w:val="Titolo8Carattere"/>
    <w:uiPriority w:val="9"/>
    <w:semiHidden/>
    <w:unhideWhenUsed/>
    <w:qFormat/>
    <w:rsid w:val="000C269A"/>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0C269A"/>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269A"/>
    <w:rPr>
      <w:caps/>
      <w:color w:val="FFFFFF" w:themeColor="background1"/>
      <w:spacing w:val="15"/>
      <w:sz w:val="22"/>
      <w:szCs w:val="22"/>
      <w:shd w:val="clear" w:color="auto" w:fill="052F61" w:themeFill="accent1"/>
    </w:rPr>
  </w:style>
  <w:style w:type="character" w:customStyle="1" w:styleId="Titolo2Carattere">
    <w:name w:val="Titolo 2 Carattere"/>
    <w:basedOn w:val="Carpredefinitoparagrafo"/>
    <w:link w:val="Titolo2"/>
    <w:uiPriority w:val="9"/>
    <w:semiHidden/>
    <w:rsid w:val="000C269A"/>
    <w:rPr>
      <w:caps/>
      <w:spacing w:val="15"/>
      <w:shd w:val="clear" w:color="auto" w:fill="B1D2FB" w:themeFill="accent1" w:themeFillTint="33"/>
    </w:rPr>
  </w:style>
  <w:style w:type="character" w:customStyle="1" w:styleId="Titolo3Carattere">
    <w:name w:val="Titolo 3 Carattere"/>
    <w:basedOn w:val="Carpredefinitoparagrafo"/>
    <w:link w:val="Titolo3"/>
    <w:uiPriority w:val="9"/>
    <w:semiHidden/>
    <w:rsid w:val="000C269A"/>
    <w:rPr>
      <w:caps/>
      <w:color w:val="021730" w:themeColor="accent1" w:themeShade="7F"/>
      <w:spacing w:val="15"/>
    </w:rPr>
  </w:style>
  <w:style w:type="character" w:customStyle="1" w:styleId="Titolo4Carattere">
    <w:name w:val="Titolo 4 Carattere"/>
    <w:basedOn w:val="Carpredefinitoparagrafo"/>
    <w:link w:val="Titolo4"/>
    <w:uiPriority w:val="9"/>
    <w:semiHidden/>
    <w:rsid w:val="000C269A"/>
    <w:rPr>
      <w:caps/>
      <w:color w:val="032348" w:themeColor="accent1" w:themeShade="BF"/>
      <w:spacing w:val="10"/>
    </w:rPr>
  </w:style>
  <w:style w:type="character" w:customStyle="1" w:styleId="Titolo5Carattere">
    <w:name w:val="Titolo 5 Carattere"/>
    <w:basedOn w:val="Carpredefinitoparagrafo"/>
    <w:link w:val="Titolo5"/>
    <w:uiPriority w:val="9"/>
    <w:semiHidden/>
    <w:rsid w:val="000C269A"/>
    <w:rPr>
      <w:caps/>
      <w:color w:val="032348" w:themeColor="accent1" w:themeShade="BF"/>
      <w:spacing w:val="10"/>
    </w:rPr>
  </w:style>
  <w:style w:type="character" w:customStyle="1" w:styleId="Titolo6Carattere">
    <w:name w:val="Titolo 6 Carattere"/>
    <w:basedOn w:val="Carpredefinitoparagrafo"/>
    <w:link w:val="Titolo6"/>
    <w:uiPriority w:val="9"/>
    <w:semiHidden/>
    <w:rsid w:val="000C269A"/>
    <w:rPr>
      <w:caps/>
      <w:color w:val="032348" w:themeColor="accent1" w:themeShade="BF"/>
      <w:spacing w:val="10"/>
    </w:rPr>
  </w:style>
  <w:style w:type="character" w:customStyle="1" w:styleId="Titolo7Carattere">
    <w:name w:val="Titolo 7 Carattere"/>
    <w:basedOn w:val="Carpredefinitoparagrafo"/>
    <w:link w:val="Titolo7"/>
    <w:uiPriority w:val="9"/>
    <w:semiHidden/>
    <w:rsid w:val="000C269A"/>
    <w:rPr>
      <w:caps/>
      <w:color w:val="032348" w:themeColor="accent1" w:themeShade="BF"/>
      <w:spacing w:val="10"/>
    </w:rPr>
  </w:style>
  <w:style w:type="character" w:customStyle="1" w:styleId="Titolo8Carattere">
    <w:name w:val="Titolo 8 Carattere"/>
    <w:basedOn w:val="Carpredefinitoparagrafo"/>
    <w:link w:val="Titolo8"/>
    <w:uiPriority w:val="9"/>
    <w:semiHidden/>
    <w:rsid w:val="000C269A"/>
    <w:rPr>
      <w:caps/>
      <w:spacing w:val="10"/>
      <w:sz w:val="18"/>
      <w:szCs w:val="18"/>
    </w:rPr>
  </w:style>
  <w:style w:type="character" w:customStyle="1" w:styleId="Titolo9Carattere">
    <w:name w:val="Titolo 9 Carattere"/>
    <w:basedOn w:val="Carpredefinitoparagrafo"/>
    <w:link w:val="Titolo9"/>
    <w:uiPriority w:val="9"/>
    <w:semiHidden/>
    <w:rsid w:val="000C269A"/>
    <w:rPr>
      <w:i/>
      <w:iCs/>
      <w:caps/>
      <w:spacing w:val="10"/>
      <w:sz w:val="18"/>
      <w:szCs w:val="18"/>
    </w:rPr>
  </w:style>
  <w:style w:type="paragraph" w:styleId="Didascalia">
    <w:name w:val="caption"/>
    <w:basedOn w:val="Normale"/>
    <w:next w:val="Normale"/>
    <w:uiPriority w:val="35"/>
    <w:semiHidden/>
    <w:unhideWhenUsed/>
    <w:qFormat/>
    <w:rsid w:val="000C269A"/>
    <w:rPr>
      <w:b/>
      <w:bCs/>
      <w:color w:val="032348" w:themeColor="accent1" w:themeShade="BF"/>
      <w:sz w:val="16"/>
      <w:szCs w:val="16"/>
    </w:rPr>
  </w:style>
  <w:style w:type="paragraph" w:styleId="Titolo">
    <w:name w:val="Title"/>
    <w:basedOn w:val="Normale"/>
    <w:next w:val="Normale"/>
    <w:link w:val="TitoloCarattere"/>
    <w:uiPriority w:val="10"/>
    <w:qFormat/>
    <w:rsid w:val="000C269A"/>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oloCarattere">
    <w:name w:val="Titolo Carattere"/>
    <w:basedOn w:val="Carpredefinitoparagrafo"/>
    <w:link w:val="Titolo"/>
    <w:uiPriority w:val="10"/>
    <w:rsid w:val="000C269A"/>
    <w:rPr>
      <w:rFonts w:asciiTheme="majorHAnsi" w:eastAsiaTheme="majorEastAsia" w:hAnsiTheme="majorHAnsi" w:cstheme="majorBidi"/>
      <w:caps/>
      <w:color w:val="052F61" w:themeColor="accent1"/>
      <w:spacing w:val="10"/>
      <w:sz w:val="52"/>
      <w:szCs w:val="52"/>
    </w:rPr>
  </w:style>
  <w:style w:type="paragraph" w:styleId="Sottotitolo">
    <w:name w:val="Subtitle"/>
    <w:basedOn w:val="Normale"/>
    <w:next w:val="Normale"/>
    <w:link w:val="SottotitoloCarattere"/>
    <w:uiPriority w:val="11"/>
    <w:qFormat/>
    <w:rsid w:val="000C269A"/>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0C269A"/>
    <w:rPr>
      <w:caps/>
      <w:color w:val="595959" w:themeColor="text1" w:themeTint="A6"/>
      <w:spacing w:val="10"/>
      <w:sz w:val="21"/>
      <w:szCs w:val="21"/>
    </w:rPr>
  </w:style>
  <w:style w:type="character" w:styleId="Enfasigrassetto">
    <w:name w:val="Strong"/>
    <w:uiPriority w:val="22"/>
    <w:qFormat/>
    <w:rsid w:val="000C269A"/>
    <w:rPr>
      <w:b/>
      <w:bCs/>
    </w:rPr>
  </w:style>
  <w:style w:type="character" w:styleId="Enfasicorsivo">
    <w:name w:val="Emphasis"/>
    <w:uiPriority w:val="20"/>
    <w:qFormat/>
    <w:rsid w:val="000C269A"/>
    <w:rPr>
      <w:caps/>
      <w:color w:val="021730" w:themeColor="accent1" w:themeShade="7F"/>
      <w:spacing w:val="5"/>
    </w:rPr>
  </w:style>
  <w:style w:type="paragraph" w:styleId="Nessunaspaziatura">
    <w:name w:val="No Spacing"/>
    <w:uiPriority w:val="1"/>
    <w:qFormat/>
    <w:rsid w:val="000C269A"/>
    <w:pPr>
      <w:spacing w:after="0" w:line="240" w:lineRule="auto"/>
    </w:pPr>
  </w:style>
  <w:style w:type="paragraph" w:styleId="Citazione">
    <w:name w:val="Quote"/>
    <w:basedOn w:val="Normale"/>
    <w:next w:val="Normale"/>
    <w:link w:val="CitazioneCarattere"/>
    <w:uiPriority w:val="29"/>
    <w:qFormat/>
    <w:rsid w:val="000C269A"/>
    <w:rPr>
      <w:i/>
      <w:iCs/>
      <w:sz w:val="24"/>
      <w:szCs w:val="24"/>
    </w:rPr>
  </w:style>
  <w:style w:type="character" w:customStyle="1" w:styleId="CitazioneCarattere">
    <w:name w:val="Citazione Carattere"/>
    <w:basedOn w:val="Carpredefinitoparagrafo"/>
    <w:link w:val="Citazione"/>
    <w:uiPriority w:val="29"/>
    <w:rsid w:val="000C269A"/>
    <w:rPr>
      <w:i/>
      <w:iCs/>
      <w:sz w:val="24"/>
      <w:szCs w:val="24"/>
    </w:rPr>
  </w:style>
  <w:style w:type="paragraph" w:styleId="Citazioneintensa">
    <w:name w:val="Intense Quote"/>
    <w:basedOn w:val="Normale"/>
    <w:next w:val="Normale"/>
    <w:link w:val="CitazioneintensaCarattere"/>
    <w:uiPriority w:val="30"/>
    <w:qFormat/>
    <w:rsid w:val="000C269A"/>
    <w:pPr>
      <w:spacing w:before="240" w:after="240" w:line="240" w:lineRule="auto"/>
      <w:ind w:left="1080" w:right="1080"/>
      <w:jc w:val="center"/>
    </w:pPr>
    <w:rPr>
      <w:color w:val="052F61" w:themeColor="accent1"/>
      <w:sz w:val="24"/>
      <w:szCs w:val="24"/>
    </w:rPr>
  </w:style>
  <w:style w:type="character" w:customStyle="1" w:styleId="CitazioneintensaCarattere">
    <w:name w:val="Citazione intensa Carattere"/>
    <w:basedOn w:val="Carpredefinitoparagrafo"/>
    <w:link w:val="Citazioneintensa"/>
    <w:uiPriority w:val="30"/>
    <w:rsid w:val="000C269A"/>
    <w:rPr>
      <w:color w:val="052F61" w:themeColor="accent1"/>
      <w:sz w:val="24"/>
      <w:szCs w:val="24"/>
    </w:rPr>
  </w:style>
  <w:style w:type="character" w:styleId="Enfasidelicata">
    <w:name w:val="Subtle Emphasis"/>
    <w:uiPriority w:val="19"/>
    <w:qFormat/>
    <w:rsid w:val="000C269A"/>
    <w:rPr>
      <w:i/>
      <w:iCs/>
      <w:color w:val="021730" w:themeColor="accent1" w:themeShade="7F"/>
    </w:rPr>
  </w:style>
  <w:style w:type="character" w:styleId="Enfasiintensa">
    <w:name w:val="Intense Emphasis"/>
    <w:uiPriority w:val="21"/>
    <w:qFormat/>
    <w:rsid w:val="000C269A"/>
    <w:rPr>
      <w:b/>
      <w:bCs/>
      <w:caps/>
      <w:color w:val="021730" w:themeColor="accent1" w:themeShade="7F"/>
      <w:spacing w:val="10"/>
    </w:rPr>
  </w:style>
  <w:style w:type="character" w:styleId="Riferimentodelicato">
    <w:name w:val="Subtle Reference"/>
    <w:uiPriority w:val="31"/>
    <w:qFormat/>
    <w:rsid w:val="000C269A"/>
    <w:rPr>
      <w:b/>
      <w:bCs/>
      <w:color w:val="052F61" w:themeColor="accent1"/>
    </w:rPr>
  </w:style>
  <w:style w:type="character" w:styleId="Riferimentointenso">
    <w:name w:val="Intense Reference"/>
    <w:uiPriority w:val="32"/>
    <w:qFormat/>
    <w:rsid w:val="000C269A"/>
    <w:rPr>
      <w:b/>
      <w:bCs/>
      <w:i/>
      <w:iCs/>
      <w:caps/>
      <w:color w:val="052F61" w:themeColor="accent1"/>
    </w:rPr>
  </w:style>
  <w:style w:type="character" w:styleId="Titolodellibro">
    <w:name w:val="Book Title"/>
    <w:uiPriority w:val="33"/>
    <w:qFormat/>
    <w:rsid w:val="000C269A"/>
    <w:rPr>
      <w:b/>
      <w:bCs/>
      <w:i/>
      <w:iCs/>
      <w:spacing w:val="0"/>
    </w:rPr>
  </w:style>
  <w:style w:type="paragraph" w:styleId="Titolosommario">
    <w:name w:val="TOC Heading"/>
    <w:basedOn w:val="Titolo1"/>
    <w:next w:val="Normale"/>
    <w:uiPriority w:val="39"/>
    <w:semiHidden/>
    <w:unhideWhenUsed/>
    <w:qFormat/>
    <w:rsid w:val="000C269A"/>
    <w:pPr>
      <w:outlineLvl w:val="9"/>
    </w:pPr>
  </w:style>
  <w:style w:type="character" w:customStyle="1" w:styleId="markedcontent">
    <w:name w:val="markedcontent"/>
    <w:basedOn w:val="Carpredefinitoparagrafo"/>
    <w:rsid w:val="005B0537"/>
  </w:style>
  <w:style w:type="paragraph" w:customStyle="1" w:styleId="Default">
    <w:name w:val="Default"/>
    <w:rsid w:val="005421B0"/>
    <w:pPr>
      <w:autoSpaceDE w:val="0"/>
      <w:autoSpaceDN w:val="0"/>
      <w:adjustRightInd w:val="0"/>
      <w:spacing w:before="0" w:after="0" w:line="240" w:lineRule="auto"/>
    </w:pPr>
    <w:rPr>
      <w:rFonts w:ascii="Montserrat" w:hAnsi="Montserrat" w:cs="Montserrat"/>
      <w:color w:val="000000"/>
      <w:sz w:val="24"/>
      <w:szCs w:val="24"/>
    </w:rPr>
  </w:style>
  <w:style w:type="paragraph" w:styleId="Paragrafoelenco">
    <w:name w:val="List Paragraph"/>
    <w:basedOn w:val="Normale"/>
    <w:link w:val="ParagrafoelencoCarattere"/>
    <w:uiPriority w:val="34"/>
    <w:qFormat/>
    <w:rsid w:val="005421B0"/>
    <w:pPr>
      <w:ind w:left="720"/>
      <w:contextualSpacing/>
    </w:pPr>
  </w:style>
  <w:style w:type="character" w:customStyle="1" w:styleId="ParagrafoelencoCarattere">
    <w:name w:val="Paragrafo elenco Carattere"/>
    <w:link w:val="Paragrafoelenco"/>
    <w:uiPriority w:val="34"/>
    <w:qFormat/>
    <w:locked/>
    <w:rsid w:val="00937E6E"/>
  </w:style>
  <w:style w:type="paragraph" w:styleId="NormaleWeb">
    <w:name w:val="Normal (Web)"/>
    <w:basedOn w:val="Normale"/>
    <w:uiPriority w:val="99"/>
    <w:unhideWhenUsed/>
    <w:rsid w:val="000549CC"/>
    <w:pPr>
      <w:spacing w:before="0" w:after="0" w:line="240" w:lineRule="auto"/>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646E33"/>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646E33"/>
  </w:style>
  <w:style w:type="paragraph" w:styleId="Pidipagina">
    <w:name w:val="footer"/>
    <w:basedOn w:val="Normale"/>
    <w:link w:val="PidipaginaCarattere"/>
    <w:uiPriority w:val="99"/>
    <w:unhideWhenUsed/>
    <w:rsid w:val="00646E33"/>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646E33"/>
  </w:style>
  <w:style w:type="table" w:styleId="Tabellagriglia4-colore1">
    <w:name w:val="Grid Table 4 Accent 1"/>
    <w:basedOn w:val="Tabellanormale"/>
    <w:uiPriority w:val="49"/>
    <w:rsid w:val="00E64B58"/>
    <w:pPr>
      <w:spacing w:before="0" w:after="0" w:line="240" w:lineRule="auto"/>
    </w:pPr>
    <w:rPr>
      <w:sz w:val="22"/>
      <w:szCs w:val="22"/>
    </w:rPr>
    <w:tblPr>
      <w:tblStyleRowBandSize w:val="1"/>
      <w:tblStyleColBandSize w:val="1"/>
      <w:tblBorders>
        <w:top w:val="single" w:sz="4" w:space="0" w:color="167AF3" w:themeColor="accent1" w:themeTint="99"/>
        <w:left w:val="single" w:sz="4" w:space="0" w:color="167AF3" w:themeColor="accent1" w:themeTint="99"/>
        <w:bottom w:val="single" w:sz="4" w:space="0" w:color="167AF3" w:themeColor="accent1" w:themeTint="99"/>
        <w:right w:val="single" w:sz="4" w:space="0" w:color="167AF3" w:themeColor="accent1" w:themeTint="99"/>
        <w:insideH w:val="single" w:sz="4" w:space="0" w:color="167AF3" w:themeColor="accent1" w:themeTint="99"/>
        <w:insideV w:val="single" w:sz="4" w:space="0" w:color="167AF3" w:themeColor="accent1" w:themeTint="99"/>
      </w:tblBorders>
    </w:tblPr>
    <w:tblStylePr w:type="firstRow">
      <w:rPr>
        <w:b/>
        <w:bCs/>
        <w:color w:val="FFFFFF" w:themeColor="background1"/>
      </w:rPr>
      <w:tblPr/>
      <w:tcPr>
        <w:tcBorders>
          <w:top w:val="single" w:sz="4" w:space="0" w:color="052F61" w:themeColor="accent1"/>
          <w:left w:val="single" w:sz="4" w:space="0" w:color="052F61" w:themeColor="accent1"/>
          <w:bottom w:val="single" w:sz="4" w:space="0" w:color="052F61" w:themeColor="accent1"/>
          <w:right w:val="single" w:sz="4" w:space="0" w:color="052F61" w:themeColor="accent1"/>
          <w:insideH w:val="nil"/>
          <w:insideV w:val="nil"/>
        </w:tcBorders>
        <w:shd w:val="clear" w:color="auto" w:fill="052F61" w:themeFill="accent1"/>
      </w:tcPr>
    </w:tblStylePr>
    <w:tblStylePr w:type="lastRow">
      <w:rPr>
        <w:b/>
        <w:bCs/>
      </w:rPr>
      <w:tblPr/>
      <w:tcPr>
        <w:tcBorders>
          <w:top w:val="double" w:sz="4" w:space="0" w:color="052F61" w:themeColor="accent1"/>
        </w:tcBorders>
      </w:tcPr>
    </w:tblStylePr>
    <w:tblStylePr w:type="firstCol">
      <w:rPr>
        <w:b/>
        <w:bCs/>
      </w:rPr>
    </w:tblStylePr>
    <w:tblStylePr w:type="lastCol">
      <w:rPr>
        <w:b/>
        <w:bCs/>
      </w:rPr>
    </w:tblStylePr>
    <w:tblStylePr w:type="band1Vert">
      <w:tblPr/>
      <w:tcPr>
        <w:shd w:val="clear" w:color="auto" w:fill="B1D2FB" w:themeFill="accent1" w:themeFillTint="33"/>
      </w:tcPr>
    </w:tblStylePr>
    <w:tblStylePr w:type="band1Horz">
      <w:tblPr/>
      <w:tcPr>
        <w:shd w:val="clear" w:color="auto" w:fill="B1D2FB" w:themeFill="accent1" w:themeFillTint="33"/>
      </w:tcPr>
    </w:tblStylePr>
  </w:style>
  <w:style w:type="table" w:styleId="Grigliatabella">
    <w:name w:val="Table Grid"/>
    <w:basedOn w:val="Tabellanormale"/>
    <w:uiPriority w:val="39"/>
    <w:rsid w:val="00590BE4"/>
    <w:pPr>
      <w:spacing w:before="0"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2805">
      <w:bodyDiv w:val="1"/>
      <w:marLeft w:val="0"/>
      <w:marRight w:val="0"/>
      <w:marTop w:val="0"/>
      <w:marBottom w:val="0"/>
      <w:divBdr>
        <w:top w:val="none" w:sz="0" w:space="0" w:color="auto"/>
        <w:left w:val="none" w:sz="0" w:space="0" w:color="auto"/>
        <w:bottom w:val="none" w:sz="0" w:space="0" w:color="auto"/>
        <w:right w:val="none" w:sz="0" w:space="0" w:color="auto"/>
      </w:divBdr>
      <w:divsChild>
        <w:div w:id="1735201073">
          <w:marLeft w:val="360"/>
          <w:marRight w:val="0"/>
          <w:marTop w:val="200"/>
          <w:marBottom w:val="0"/>
          <w:divBdr>
            <w:top w:val="none" w:sz="0" w:space="0" w:color="auto"/>
            <w:left w:val="none" w:sz="0" w:space="0" w:color="auto"/>
            <w:bottom w:val="none" w:sz="0" w:space="0" w:color="auto"/>
            <w:right w:val="none" w:sz="0" w:space="0" w:color="auto"/>
          </w:divBdr>
        </w:div>
      </w:divsChild>
    </w:div>
    <w:div w:id="239222675">
      <w:bodyDiv w:val="1"/>
      <w:marLeft w:val="0"/>
      <w:marRight w:val="0"/>
      <w:marTop w:val="0"/>
      <w:marBottom w:val="0"/>
      <w:divBdr>
        <w:top w:val="none" w:sz="0" w:space="0" w:color="auto"/>
        <w:left w:val="none" w:sz="0" w:space="0" w:color="auto"/>
        <w:bottom w:val="none" w:sz="0" w:space="0" w:color="auto"/>
        <w:right w:val="none" w:sz="0" w:space="0" w:color="auto"/>
      </w:divBdr>
      <w:divsChild>
        <w:div w:id="503321954">
          <w:marLeft w:val="446"/>
          <w:marRight w:val="0"/>
          <w:marTop w:val="0"/>
          <w:marBottom w:val="0"/>
          <w:divBdr>
            <w:top w:val="none" w:sz="0" w:space="0" w:color="auto"/>
            <w:left w:val="none" w:sz="0" w:space="0" w:color="auto"/>
            <w:bottom w:val="none" w:sz="0" w:space="0" w:color="auto"/>
            <w:right w:val="none" w:sz="0" w:space="0" w:color="auto"/>
          </w:divBdr>
        </w:div>
        <w:div w:id="1305506165">
          <w:marLeft w:val="446"/>
          <w:marRight w:val="0"/>
          <w:marTop w:val="0"/>
          <w:marBottom w:val="0"/>
          <w:divBdr>
            <w:top w:val="none" w:sz="0" w:space="0" w:color="auto"/>
            <w:left w:val="none" w:sz="0" w:space="0" w:color="auto"/>
            <w:bottom w:val="none" w:sz="0" w:space="0" w:color="auto"/>
            <w:right w:val="none" w:sz="0" w:space="0" w:color="auto"/>
          </w:divBdr>
        </w:div>
        <w:div w:id="2096510887">
          <w:marLeft w:val="446"/>
          <w:marRight w:val="0"/>
          <w:marTop w:val="0"/>
          <w:marBottom w:val="0"/>
          <w:divBdr>
            <w:top w:val="none" w:sz="0" w:space="0" w:color="auto"/>
            <w:left w:val="none" w:sz="0" w:space="0" w:color="auto"/>
            <w:bottom w:val="none" w:sz="0" w:space="0" w:color="auto"/>
            <w:right w:val="none" w:sz="0" w:space="0" w:color="auto"/>
          </w:divBdr>
        </w:div>
      </w:divsChild>
    </w:div>
    <w:div w:id="276109510">
      <w:bodyDiv w:val="1"/>
      <w:marLeft w:val="0"/>
      <w:marRight w:val="0"/>
      <w:marTop w:val="0"/>
      <w:marBottom w:val="0"/>
      <w:divBdr>
        <w:top w:val="none" w:sz="0" w:space="0" w:color="auto"/>
        <w:left w:val="none" w:sz="0" w:space="0" w:color="auto"/>
        <w:bottom w:val="none" w:sz="0" w:space="0" w:color="auto"/>
        <w:right w:val="none" w:sz="0" w:space="0" w:color="auto"/>
      </w:divBdr>
    </w:div>
    <w:div w:id="402682736">
      <w:bodyDiv w:val="1"/>
      <w:marLeft w:val="0"/>
      <w:marRight w:val="0"/>
      <w:marTop w:val="0"/>
      <w:marBottom w:val="0"/>
      <w:divBdr>
        <w:top w:val="none" w:sz="0" w:space="0" w:color="auto"/>
        <w:left w:val="none" w:sz="0" w:space="0" w:color="auto"/>
        <w:bottom w:val="none" w:sz="0" w:space="0" w:color="auto"/>
        <w:right w:val="none" w:sz="0" w:space="0" w:color="auto"/>
      </w:divBdr>
    </w:div>
    <w:div w:id="107166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Sezione">
  <a:themeElements>
    <a:clrScheme name="Sezion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zion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29CD-1ECE-4A98-85E2-78BDA4CA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2824</Words>
  <Characters>16103</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Perluigi</dc:creator>
  <cp:keywords/>
  <dc:description/>
  <cp:lastModifiedBy>upi2</cp:lastModifiedBy>
  <cp:revision>2</cp:revision>
  <cp:lastPrinted>2024-04-18T14:24:00Z</cp:lastPrinted>
  <dcterms:created xsi:type="dcterms:W3CDTF">2024-04-19T11:23:00Z</dcterms:created>
  <dcterms:modified xsi:type="dcterms:W3CDTF">2024-04-19T11:23:00Z</dcterms:modified>
</cp:coreProperties>
</file>