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2CBFA" w14:textId="06522E58" w:rsidR="0015070C" w:rsidRDefault="000445A2" w:rsidP="00BA7CA3">
      <w:pPr>
        <w:autoSpaceDE w:val="0"/>
        <w:autoSpaceDN w:val="0"/>
        <w:adjustRightInd w:val="0"/>
        <w:spacing w:after="0" w:line="240" w:lineRule="auto"/>
        <w:jc w:val="center"/>
        <w:rPr>
          <w:rFonts w:ascii="CIDFont+F3" w:hAnsi="CIDFont+F3" w:cs="CIDFont+F3"/>
          <w:color w:val="0070C1"/>
          <w:kern w:val="0"/>
          <w:sz w:val="22"/>
          <w:szCs w:val="22"/>
        </w:rPr>
      </w:pPr>
      <w:r>
        <w:rPr>
          <w:rFonts w:ascii="CIDFont+F3" w:hAnsi="CIDFont+F3" w:cs="CIDFont+F3"/>
          <w:noProof/>
          <w:color w:val="0070C1"/>
          <w:kern w:val="0"/>
          <w:sz w:val="22"/>
          <w:szCs w:val="22"/>
        </w:rPr>
        <w:drawing>
          <wp:inline distT="0" distB="0" distL="0" distR="0" wp14:anchorId="6E5E9252" wp14:editId="6AB9D18E">
            <wp:extent cx="1236905" cy="1019810"/>
            <wp:effectExtent l="0" t="0" r="1905" b="8890"/>
            <wp:docPr id="17509787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1444" cy="1023552"/>
                    </a:xfrm>
                    <a:prstGeom prst="rect">
                      <a:avLst/>
                    </a:prstGeom>
                    <a:noFill/>
                  </pic:spPr>
                </pic:pic>
              </a:graphicData>
            </a:graphic>
          </wp:inline>
        </w:drawing>
      </w:r>
    </w:p>
    <w:p w14:paraId="3667F348" w14:textId="77777777" w:rsidR="0015070C" w:rsidRDefault="0015070C" w:rsidP="00BA7CA3">
      <w:pPr>
        <w:autoSpaceDE w:val="0"/>
        <w:autoSpaceDN w:val="0"/>
        <w:adjustRightInd w:val="0"/>
        <w:spacing w:after="0" w:line="240" w:lineRule="auto"/>
        <w:jc w:val="center"/>
        <w:rPr>
          <w:rFonts w:ascii="CIDFont+F3" w:hAnsi="CIDFont+F3" w:cs="CIDFont+F3"/>
          <w:color w:val="0070C1"/>
          <w:kern w:val="0"/>
          <w:sz w:val="22"/>
          <w:szCs w:val="22"/>
        </w:rPr>
      </w:pPr>
    </w:p>
    <w:p w14:paraId="20F6B195" w14:textId="77777777" w:rsidR="008B1A1B" w:rsidRDefault="008B1A1B" w:rsidP="00BA7CA3">
      <w:pPr>
        <w:autoSpaceDE w:val="0"/>
        <w:autoSpaceDN w:val="0"/>
        <w:adjustRightInd w:val="0"/>
        <w:spacing w:after="0" w:line="240" w:lineRule="auto"/>
        <w:jc w:val="center"/>
        <w:rPr>
          <w:rFonts w:ascii="CIDFont+F3" w:hAnsi="CIDFont+F3" w:cs="CIDFont+F3"/>
          <w:color w:val="0070C1"/>
          <w:kern w:val="0"/>
          <w:sz w:val="22"/>
          <w:szCs w:val="22"/>
        </w:rPr>
      </w:pPr>
    </w:p>
    <w:p w14:paraId="3D8FF599" w14:textId="77777777" w:rsidR="008B1A1B" w:rsidRDefault="008B1A1B" w:rsidP="00BA7CA3">
      <w:pPr>
        <w:autoSpaceDE w:val="0"/>
        <w:autoSpaceDN w:val="0"/>
        <w:adjustRightInd w:val="0"/>
        <w:spacing w:after="0" w:line="240" w:lineRule="auto"/>
        <w:jc w:val="center"/>
        <w:rPr>
          <w:rFonts w:ascii="CIDFont+F3" w:hAnsi="CIDFont+F3" w:cs="CIDFont+F3"/>
          <w:color w:val="0070C1"/>
          <w:kern w:val="0"/>
          <w:sz w:val="22"/>
          <w:szCs w:val="22"/>
        </w:rPr>
      </w:pPr>
    </w:p>
    <w:p w14:paraId="2FFBE3FE" w14:textId="77777777" w:rsidR="008B1A1B" w:rsidRDefault="008B1A1B" w:rsidP="00BA7CA3">
      <w:pPr>
        <w:autoSpaceDE w:val="0"/>
        <w:autoSpaceDN w:val="0"/>
        <w:adjustRightInd w:val="0"/>
        <w:spacing w:after="0" w:line="240" w:lineRule="auto"/>
        <w:jc w:val="center"/>
        <w:rPr>
          <w:rFonts w:ascii="CIDFont+F3" w:hAnsi="CIDFont+F3" w:cs="CIDFont+F3"/>
          <w:color w:val="0070C1"/>
          <w:kern w:val="0"/>
          <w:sz w:val="22"/>
          <w:szCs w:val="22"/>
        </w:rPr>
      </w:pPr>
    </w:p>
    <w:p w14:paraId="0B1E6D6B" w14:textId="77777777" w:rsidR="008B1A1B" w:rsidRDefault="008B1A1B" w:rsidP="00BA7CA3">
      <w:pPr>
        <w:autoSpaceDE w:val="0"/>
        <w:autoSpaceDN w:val="0"/>
        <w:adjustRightInd w:val="0"/>
        <w:spacing w:after="0" w:line="240" w:lineRule="auto"/>
        <w:jc w:val="center"/>
        <w:rPr>
          <w:rFonts w:ascii="CIDFont+F3" w:hAnsi="CIDFont+F3" w:cs="CIDFont+F3"/>
          <w:color w:val="0070C1"/>
          <w:kern w:val="0"/>
          <w:sz w:val="22"/>
          <w:szCs w:val="22"/>
        </w:rPr>
      </w:pPr>
    </w:p>
    <w:p w14:paraId="3DA97F2D" w14:textId="77777777" w:rsidR="008B1A1B" w:rsidRDefault="008B1A1B" w:rsidP="00BA7CA3">
      <w:pPr>
        <w:autoSpaceDE w:val="0"/>
        <w:autoSpaceDN w:val="0"/>
        <w:adjustRightInd w:val="0"/>
        <w:spacing w:after="0" w:line="240" w:lineRule="auto"/>
        <w:jc w:val="center"/>
        <w:rPr>
          <w:rFonts w:ascii="CIDFont+F3" w:hAnsi="CIDFont+F3" w:cs="CIDFont+F3"/>
          <w:color w:val="0070C1"/>
          <w:kern w:val="0"/>
          <w:sz w:val="22"/>
          <w:szCs w:val="22"/>
        </w:rPr>
      </w:pPr>
    </w:p>
    <w:p w14:paraId="26973DC0" w14:textId="77777777" w:rsidR="008B1A1B" w:rsidRDefault="008B1A1B" w:rsidP="00BA7CA3">
      <w:pPr>
        <w:autoSpaceDE w:val="0"/>
        <w:autoSpaceDN w:val="0"/>
        <w:adjustRightInd w:val="0"/>
        <w:spacing w:after="0" w:line="240" w:lineRule="auto"/>
        <w:jc w:val="center"/>
        <w:rPr>
          <w:rFonts w:ascii="CIDFont+F3" w:hAnsi="CIDFont+F3" w:cs="CIDFont+F3"/>
          <w:color w:val="0070C1"/>
          <w:kern w:val="0"/>
          <w:sz w:val="22"/>
          <w:szCs w:val="22"/>
        </w:rPr>
      </w:pPr>
    </w:p>
    <w:p w14:paraId="1CAA314B" w14:textId="77777777" w:rsidR="008B1A1B" w:rsidRDefault="008B1A1B" w:rsidP="00BA7CA3">
      <w:pPr>
        <w:autoSpaceDE w:val="0"/>
        <w:autoSpaceDN w:val="0"/>
        <w:adjustRightInd w:val="0"/>
        <w:spacing w:after="0" w:line="240" w:lineRule="auto"/>
        <w:jc w:val="center"/>
        <w:rPr>
          <w:rFonts w:ascii="CIDFont+F3" w:hAnsi="CIDFont+F3" w:cs="CIDFont+F3"/>
          <w:color w:val="0070C1"/>
          <w:kern w:val="0"/>
          <w:sz w:val="22"/>
          <w:szCs w:val="22"/>
        </w:rPr>
      </w:pPr>
    </w:p>
    <w:p w14:paraId="36ACFADD" w14:textId="77777777" w:rsidR="008B1A1B" w:rsidRDefault="008B1A1B" w:rsidP="00BA7CA3">
      <w:pPr>
        <w:autoSpaceDE w:val="0"/>
        <w:autoSpaceDN w:val="0"/>
        <w:adjustRightInd w:val="0"/>
        <w:spacing w:after="0" w:line="240" w:lineRule="auto"/>
        <w:jc w:val="center"/>
        <w:rPr>
          <w:rFonts w:ascii="CIDFont+F3" w:hAnsi="CIDFont+F3" w:cs="CIDFont+F3"/>
          <w:color w:val="0070C1"/>
          <w:kern w:val="0"/>
          <w:sz w:val="22"/>
          <w:szCs w:val="22"/>
        </w:rPr>
      </w:pPr>
    </w:p>
    <w:p w14:paraId="74C08D43" w14:textId="77777777" w:rsidR="008B1A1B" w:rsidRDefault="008B1A1B" w:rsidP="00BA7CA3">
      <w:pPr>
        <w:autoSpaceDE w:val="0"/>
        <w:autoSpaceDN w:val="0"/>
        <w:adjustRightInd w:val="0"/>
        <w:spacing w:after="0" w:line="240" w:lineRule="auto"/>
        <w:jc w:val="center"/>
        <w:rPr>
          <w:rFonts w:ascii="CIDFont+F3" w:hAnsi="CIDFont+F3" w:cs="CIDFont+F3"/>
          <w:color w:val="0070C1"/>
          <w:kern w:val="0"/>
          <w:sz w:val="22"/>
          <w:szCs w:val="22"/>
        </w:rPr>
      </w:pPr>
    </w:p>
    <w:p w14:paraId="61E85866" w14:textId="77777777" w:rsidR="008B1A1B" w:rsidRDefault="008B1A1B" w:rsidP="00BA7CA3">
      <w:pPr>
        <w:autoSpaceDE w:val="0"/>
        <w:autoSpaceDN w:val="0"/>
        <w:adjustRightInd w:val="0"/>
        <w:spacing w:after="0" w:line="240" w:lineRule="auto"/>
        <w:jc w:val="center"/>
        <w:rPr>
          <w:rFonts w:ascii="CIDFont+F3" w:hAnsi="CIDFont+F3" w:cs="CIDFont+F3"/>
          <w:color w:val="0070C1"/>
          <w:kern w:val="0"/>
          <w:sz w:val="22"/>
          <w:szCs w:val="22"/>
        </w:rPr>
      </w:pPr>
    </w:p>
    <w:p w14:paraId="3608C4A0" w14:textId="77777777" w:rsidR="008B1A1B" w:rsidRDefault="008B1A1B" w:rsidP="00BA7CA3">
      <w:pPr>
        <w:autoSpaceDE w:val="0"/>
        <w:autoSpaceDN w:val="0"/>
        <w:adjustRightInd w:val="0"/>
        <w:spacing w:after="0" w:line="240" w:lineRule="auto"/>
        <w:jc w:val="center"/>
        <w:rPr>
          <w:rFonts w:ascii="CIDFont+F3" w:hAnsi="CIDFont+F3" w:cs="CIDFont+F3"/>
          <w:color w:val="0070C1"/>
          <w:kern w:val="0"/>
          <w:sz w:val="22"/>
          <w:szCs w:val="22"/>
        </w:rPr>
      </w:pPr>
    </w:p>
    <w:p w14:paraId="100485B5" w14:textId="77777777" w:rsidR="008B1A1B" w:rsidRDefault="008B1A1B" w:rsidP="00BA7CA3">
      <w:pPr>
        <w:autoSpaceDE w:val="0"/>
        <w:autoSpaceDN w:val="0"/>
        <w:adjustRightInd w:val="0"/>
        <w:spacing w:after="0" w:line="240" w:lineRule="auto"/>
        <w:jc w:val="center"/>
        <w:rPr>
          <w:rFonts w:ascii="CIDFont+F3" w:hAnsi="CIDFont+F3" w:cs="CIDFont+F3"/>
          <w:color w:val="0070C1"/>
          <w:kern w:val="0"/>
          <w:sz w:val="22"/>
          <w:szCs w:val="22"/>
        </w:rPr>
      </w:pPr>
    </w:p>
    <w:p w14:paraId="08DE831D" w14:textId="77777777" w:rsidR="008B1A1B" w:rsidRDefault="008B1A1B" w:rsidP="00BA7CA3">
      <w:pPr>
        <w:autoSpaceDE w:val="0"/>
        <w:autoSpaceDN w:val="0"/>
        <w:adjustRightInd w:val="0"/>
        <w:spacing w:after="0" w:line="240" w:lineRule="auto"/>
        <w:jc w:val="center"/>
        <w:rPr>
          <w:rFonts w:ascii="CIDFont+F3" w:hAnsi="CIDFont+F3" w:cs="CIDFont+F3"/>
          <w:color w:val="0070C1"/>
          <w:kern w:val="0"/>
          <w:sz w:val="22"/>
          <w:szCs w:val="22"/>
        </w:rPr>
      </w:pPr>
    </w:p>
    <w:p w14:paraId="74BA0181" w14:textId="77777777" w:rsidR="008B1A1B" w:rsidRDefault="008B1A1B" w:rsidP="00BA7CA3">
      <w:pPr>
        <w:autoSpaceDE w:val="0"/>
        <w:autoSpaceDN w:val="0"/>
        <w:adjustRightInd w:val="0"/>
        <w:spacing w:after="0" w:line="240" w:lineRule="auto"/>
        <w:jc w:val="center"/>
        <w:rPr>
          <w:rFonts w:ascii="CIDFont+F3" w:hAnsi="CIDFont+F3" w:cs="CIDFont+F3"/>
          <w:color w:val="0070C1"/>
          <w:kern w:val="0"/>
          <w:sz w:val="22"/>
          <w:szCs w:val="22"/>
        </w:rPr>
      </w:pPr>
    </w:p>
    <w:p w14:paraId="7B3F5BD1" w14:textId="77777777" w:rsidR="008B1A1B" w:rsidRDefault="008B1A1B" w:rsidP="00BA7CA3">
      <w:pPr>
        <w:autoSpaceDE w:val="0"/>
        <w:autoSpaceDN w:val="0"/>
        <w:adjustRightInd w:val="0"/>
        <w:spacing w:after="0" w:line="240" w:lineRule="auto"/>
        <w:jc w:val="center"/>
        <w:rPr>
          <w:rFonts w:ascii="CIDFont+F3" w:hAnsi="CIDFont+F3" w:cs="CIDFont+F3"/>
          <w:color w:val="0070C1"/>
          <w:kern w:val="0"/>
          <w:sz w:val="22"/>
          <w:szCs w:val="22"/>
        </w:rPr>
      </w:pPr>
    </w:p>
    <w:p w14:paraId="7E4220F0" w14:textId="77777777" w:rsidR="008B1A1B" w:rsidRDefault="008B1A1B" w:rsidP="00BA7CA3">
      <w:pPr>
        <w:autoSpaceDE w:val="0"/>
        <w:autoSpaceDN w:val="0"/>
        <w:adjustRightInd w:val="0"/>
        <w:spacing w:after="0" w:line="240" w:lineRule="auto"/>
        <w:jc w:val="center"/>
        <w:rPr>
          <w:rFonts w:ascii="CIDFont+F3" w:hAnsi="CIDFont+F3" w:cs="CIDFont+F3"/>
          <w:color w:val="0070C1"/>
          <w:kern w:val="0"/>
          <w:sz w:val="22"/>
          <w:szCs w:val="22"/>
        </w:rPr>
      </w:pPr>
    </w:p>
    <w:p w14:paraId="5FA3762C" w14:textId="44EDD4FA" w:rsidR="00BA7CA3" w:rsidRPr="00AA7BA6" w:rsidRDefault="00BA7CA3" w:rsidP="000445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IDFont+F3" w:hAnsi="CIDFont+F3" w:cs="CIDFont+F3"/>
          <w:b/>
          <w:bCs/>
          <w:kern w:val="0"/>
          <w:sz w:val="28"/>
          <w:szCs w:val="28"/>
        </w:rPr>
      </w:pPr>
      <w:r w:rsidRPr="00AA7BA6">
        <w:rPr>
          <w:rFonts w:ascii="CIDFont+F3" w:hAnsi="CIDFont+F3" w:cs="CIDFont+F3"/>
          <w:b/>
          <w:bCs/>
          <w:kern w:val="0"/>
          <w:sz w:val="28"/>
          <w:szCs w:val="28"/>
        </w:rPr>
        <w:t xml:space="preserve">NOTA </w:t>
      </w:r>
      <w:r w:rsidR="00AA7BA6" w:rsidRPr="00AA7BA6">
        <w:rPr>
          <w:rFonts w:ascii="CIDFont+F3" w:hAnsi="CIDFont+F3" w:cs="CIDFont+F3"/>
          <w:b/>
          <w:bCs/>
          <w:kern w:val="0"/>
          <w:sz w:val="28"/>
          <w:szCs w:val="28"/>
        </w:rPr>
        <w:t xml:space="preserve">RIEPILOGATIVA DELLE </w:t>
      </w:r>
      <w:r w:rsidRPr="00AA7BA6">
        <w:rPr>
          <w:rFonts w:ascii="CIDFont+F3" w:hAnsi="CIDFont+F3" w:cs="CIDFont+F3"/>
          <w:b/>
          <w:bCs/>
          <w:kern w:val="0"/>
          <w:sz w:val="28"/>
          <w:szCs w:val="28"/>
        </w:rPr>
        <w:t xml:space="preserve">MISURE PRINCIPALI </w:t>
      </w:r>
      <w:r w:rsidR="001B5A42">
        <w:rPr>
          <w:rFonts w:ascii="CIDFont+F3" w:hAnsi="CIDFont+F3" w:cs="CIDFont+F3"/>
          <w:b/>
          <w:bCs/>
          <w:kern w:val="0"/>
          <w:sz w:val="28"/>
          <w:szCs w:val="28"/>
        </w:rPr>
        <w:t>DI INTERESSE DELLE</w:t>
      </w:r>
      <w:r w:rsidR="00AA7BA6" w:rsidRPr="00AA7BA6">
        <w:rPr>
          <w:rFonts w:ascii="CIDFont+F3" w:hAnsi="CIDFont+F3" w:cs="CIDFont+F3"/>
          <w:b/>
          <w:bCs/>
          <w:kern w:val="0"/>
          <w:sz w:val="28"/>
          <w:szCs w:val="28"/>
        </w:rPr>
        <w:t xml:space="preserve"> PROVINCE</w:t>
      </w:r>
    </w:p>
    <w:p w14:paraId="1CF969D3" w14:textId="132C1469" w:rsidR="00BA7CA3" w:rsidRPr="00AA7BA6" w:rsidRDefault="00BA7CA3" w:rsidP="000445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IDFont+F3" w:hAnsi="CIDFont+F3" w:cs="CIDFont+F3"/>
          <w:b/>
          <w:bCs/>
          <w:kern w:val="0"/>
          <w:sz w:val="28"/>
          <w:szCs w:val="28"/>
        </w:rPr>
      </w:pPr>
      <w:r w:rsidRPr="00AA7BA6">
        <w:rPr>
          <w:rFonts w:ascii="CIDFont+F3" w:hAnsi="CIDFont+F3" w:cs="CIDFont+F3"/>
          <w:b/>
          <w:bCs/>
          <w:kern w:val="0"/>
          <w:sz w:val="28"/>
          <w:szCs w:val="28"/>
        </w:rPr>
        <w:t>NEL DECRETO-LEGGE 27 DICEMBRE 2024 N. 202</w:t>
      </w:r>
    </w:p>
    <w:p w14:paraId="275D9673" w14:textId="77777777" w:rsidR="00BA7CA3" w:rsidRPr="00AA7BA6" w:rsidRDefault="00BA7CA3" w:rsidP="000445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IDFont+F3" w:hAnsi="CIDFont+F3" w:cs="CIDFont+F3"/>
          <w:b/>
          <w:bCs/>
          <w:kern w:val="0"/>
          <w:sz w:val="28"/>
          <w:szCs w:val="28"/>
        </w:rPr>
      </w:pPr>
      <w:r w:rsidRPr="00AA7BA6">
        <w:rPr>
          <w:rFonts w:ascii="CIDFont+F3" w:hAnsi="CIDFont+F3" w:cs="CIDFont+F3"/>
          <w:b/>
          <w:bCs/>
          <w:kern w:val="0"/>
          <w:sz w:val="28"/>
          <w:szCs w:val="28"/>
        </w:rPr>
        <w:t>RECANTE “DISPOSIZIONI URGENTI IN MATERIA DI TERMINI NORMATIVI”</w:t>
      </w:r>
    </w:p>
    <w:p w14:paraId="799AFFEC" w14:textId="77777777" w:rsidR="0015070C" w:rsidRDefault="0015070C" w:rsidP="00BA7CA3">
      <w:pPr>
        <w:autoSpaceDE w:val="0"/>
        <w:autoSpaceDN w:val="0"/>
        <w:adjustRightInd w:val="0"/>
        <w:spacing w:after="0" w:line="240" w:lineRule="auto"/>
        <w:jc w:val="center"/>
        <w:rPr>
          <w:rFonts w:ascii="CIDFont+F3" w:hAnsi="CIDFont+F3" w:cs="CIDFont+F3"/>
          <w:kern w:val="0"/>
          <w:sz w:val="22"/>
          <w:szCs w:val="22"/>
        </w:rPr>
      </w:pPr>
    </w:p>
    <w:p w14:paraId="537F04CA" w14:textId="77777777" w:rsidR="008B1A1B" w:rsidRDefault="008B1A1B" w:rsidP="00BA7CA3">
      <w:pPr>
        <w:autoSpaceDE w:val="0"/>
        <w:autoSpaceDN w:val="0"/>
        <w:adjustRightInd w:val="0"/>
        <w:spacing w:after="0" w:line="240" w:lineRule="auto"/>
        <w:jc w:val="center"/>
        <w:rPr>
          <w:rFonts w:ascii="CIDFont+F3" w:hAnsi="CIDFont+F3" w:cs="CIDFont+F3"/>
          <w:kern w:val="0"/>
          <w:sz w:val="22"/>
          <w:szCs w:val="22"/>
        </w:rPr>
      </w:pPr>
    </w:p>
    <w:p w14:paraId="33A5853F" w14:textId="77777777" w:rsidR="008B1A1B" w:rsidRDefault="008B1A1B" w:rsidP="00BA7CA3">
      <w:pPr>
        <w:autoSpaceDE w:val="0"/>
        <w:autoSpaceDN w:val="0"/>
        <w:adjustRightInd w:val="0"/>
        <w:spacing w:after="0" w:line="240" w:lineRule="auto"/>
        <w:jc w:val="center"/>
        <w:rPr>
          <w:rFonts w:ascii="CIDFont+F3" w:hAnsi="CIDFont+F3" w:cs="CIDFont+F3"/>
          <w:kern w:val="0"/>
          <w:sz w:val="22"/>
          <w:szCs w:val="22"/>
        </w:rPr>
      </w:pPr>
    </w:p>
    <w:p w14:paraId="3C27A2F5" w14:textId="77777777" w:rsidR="008B1A1B" w:rsidRDefault="008B1A1B" w:rsidP="00BA7CA3">
      <w:pPr>
        <w:autoSpaceDE w:val="0"/>
        <w:autoSpaceDN w:val="0"/>
        <w:adjustRightInd w:val="0"/>
        <w:spacing w:after="0" w:line="240" w:lineRule="auto"/>
        <w:jc w:val="center"/>
        <w:rPr>
          <w:rFonts w:ascii="CIDFont+F3" w:hAnsi="CIDFont+F3" w:cs="CIDFont+F3"/>
          <w:kern w:val="0"/>
          <w:sz w:val="22"/>
          <w:szCs w:val="22"/>
        </w:rPr>
      </w:pPr>
    </w:p>
    <w:p w14:paraId="34B0E1D9" w14:textId="77777777" w:rsidR="008B1A1B" w:rsidRDefault="008B1A1B" w:rsidP="00BA7CA3">
      <w:pPr>
        <w:autoSpaceDE w:val="0"/>
        <w:autoSpaceDN w:val="0"/>
        <w:adjustRightInd w:val="0"/>
        <w:spacing w:after="0" w:line="240" w:lineRule="auto"/>
        <w:jc w:val="center"/>
        <w:rPr>
          <w:rFonts w:ascii="CIDFont+F3" w:hAnsi="CIDFont+F3" w:cs="CIDFont+F3"/>
          <w:kern w:val="0"/>
          <w:sz w:val="22"/>
          <w:szCs w:val="22"/>
        </w:rPr>
      </w:pPr>
    </w:p>
    <w:p w14:paraId="076E8B5F" w14:textId="77777777" w:rsidR="008B1A1B" w:rsidRDefault="008B1A1B" w:rsidP="00BA7CA3">
      <w:pPr>
        <w:autoSpaceDE w:val="0"/>
        <w:autoSpaceDN w:val="0"/>
        <w:adjustRightInd w:val="0"/>
        <w:spacing w:after="0" w:line="240" w:lineRule="auto"/>
        <w:jc w:val="center"/>
        <w:rPr>
          <w:rFonts w:ascii="CIDFont+F3" w:hAnsi="CIDFont+F3" w:cs="CIDFont+F3"/>
          <w:kern w:val="0"/>
          <w:sz w:val="22"/>
          <w:szCs w:val="22"/>
        </w:rPr>
      </w:pPr>
    </w:p>
    <w:p w14:paraId="1B4178B0" w14:textId="77777777" w:rsidR="008B1A1B" w:rsidRDefault="008B1A1B" w:rsidP="00BA7CA3">
      <w:pPr>
        <w:autoSpaceDE w:val="0"/>
        <w:autoSpaceDN w:val="0"/>
        <w:adjustRightInd w:val="0"/>
        <w:spacing w:after="0" w:line="240" w:lineRule="auto"/>
        <w:jc w:val="center"/>
        <w:rPr>
          <w:rFonts w:ascii="CIDFont+F3" w:hAnsi="CIDFont+F3" w:cs="CIDFont+F3"/>
          <w:kern w:val="0"/>
          <w:sz w:val="22"/>
          <w:szCs w:val="22"/>
        </w:rPr>
      </w:pPr>
    </w:p>
    <w:p w14:paraId="0D3EC3B8" w14:textId="77777777" w:rsidR="008B1A1B" w:rsidRDefault="008B1A1B" w:rsidP="00BA7CA3">
      <w:pPr>
        <w:autoSpaceDE w:val="0"/>
        <w:autoSpaceDN w:val="0"/>
        <w:adjustRightInd w:val="0"/>
        <w:spacing w:after="0" w:line="240" w:lineRule="auto"/>
        <w:jc w:val="center"/>
        <w:rPr>
          <w:rFonts w:ascii="CIDFont+F3" w:hAnsi="CIDFont+F3" w:cs="CIDFont+F3"/>
          <w:kern w:val="0"/>
          <w:sz w:val="22"/>
          <w:szCs w:val="22"/>
        </w:rPr>
      </w:pPr>
    </w:p>
    <w:p w14:paraId="2F9B5F16" w14:textId="77777777" w:rsidR="008B1A1B" w:rsidRDefault="008B1A1B" w:rsidP="00BA7CA3">
      <w:pPr>
        <w:autoSpaceDE w:val="0"/>
        <w:autoSpaceDN w:val="0"/>
        <w:adjustRightInd w:val="0"/>
        <w:spacing w:after="0" w:line="240" w:lineRule="auto"/>
        <w:jc w:val="center"/>
        <w:rPr>
          <w:rFonts w:ascii="CIDFont+F3" w:hAnsi="CIDFont+F3" w:cs="CIDFont+F3"/>
          <w:kern w:val="0"/>
          <w:sz w:val="22"/>
          <w:szCs w:val="22"/>
        </w:rPr>
      </w:pPr>
    </w:p>
    <w:p w14:paraId="4C5568CD" w14:textId="77777777" w:rsidR="008B1A1B" w:rsidRDefault="008B1A1B" w:rsidP="00BA7CA3">
      <w:pPr>
        <w:autoSpaceDE w:val="0"/>
        <w:autoSpaceDN w:val="0"/>
        <w:adjustRightInd w:val="0"/>
        <w:spacing w:after="0" w:line="240" w:lineRule="auto"/>
        <w:jc w:val="center"/>
        <w:rPr>
          <w:rFonts w:ascii="CIDFont+F3" w:hAnsi="CIDFont+F3" w:cs="CIDFont+F3"/>
          <w:kern w:val="0"/>
          <w:sz w:val="22"/>
          <w:szCs w:val="22"/>
        </w:rPr>
      </w:pPr>
    </w:p>
    <w:p w14:paraId="070AB9C1" w14:textId="77777777" w:rsidR="008B1A1B" w:rsidRDefault="008B1A1B" w:rsidP="00BA7CA3">
      <w:pPr>
        <w:autoSpaceDE w:val="0"/>
        <w:autoSpaceDN w:val="0"/>
        <w:adjustRightInd w:val="0"/>
        <w:spacing w:after="0" w:line="240" w:lineRule="auto"/>
        <w:jc w:val="center"/>
        <w:rPr>
          <w:rFonts w:ascii="CIDFont+F3" w:hAnsi="CIDFont+F3" w:cs="CIDFont+F3"/>
          <w:kern w:val="0"/>
          <w:sz w:val="22"/>
          <w:szCs w:val="22"/>
        </w:rPr>
      </w:pPr>
    </w:p>
    <w:p w14:paraId="20F06A1D" w14:textId="77777777" w:rsidR="008B1A1B" w:rsidRDefault="008B1A1B" w:rsidP="00BA7CA3">
      <w:pPr>
        <w:autoSpaceDE w:val="0"/>
        <w:autoSpaceDN w:val="0"/>
        <w:adjustRightInd w:val="0"/>
        <w:spacing w:after="0" w:line="240" w:lineRule="auto"/>
        <w:jc w:val="center"/>
        <w:rPr>
          <w:rFonts w:ascii="CIDFont+F3" w:hAnsi="CIDFont+F3" w:cs="CIDFont+F3"/>
          <w:kern w:val="0"/>
          <w:sz w:val="22"/>
          <w:szCs w:val="22"/>
        </w:rPr>
      </w:pPr>
    </w:p>
    <w:p w14:paraId="6CEE6E03" w14:textId="77777777" w:rsidR="008B1A1B" w:rsidRDefault="008B1A1B" w:rsidP="00BA7CA3">
      <w:pPr>
        <w:autoSpaceDE w:val="0"/>
        <w:autoSpaceDN w:val="0"/>
        <w:adjustRightInd w:val="0"/>
        <w:spacing w:after="0" w:line="240" w:lineRule="auto"/>
        <w:jc w:val="center"/>
        <w:rPr>
          <w:rFonts w:ascii="CIDFont+F3" w:hAnsi="CIDFont+F3" w:cs="CIDFont+F3"/>
          <w:kern w:val="0"/>
          <w:sz w:val="22"/>
          <w:szCs w:val="22"/>
        </w:rPr>
      </w:pPr>
    </w:p>
    <w:p w14:paraId="0D6EBFE5" w14:textId="77777777" w:rsidR="008B1A1B" w:rsidRDefault="008B1A1B" w:rsidP="00BA7CA3">
      <w:pPr>
        <w:autoSpaceDE w:val="0"/>
        <w:autoSpaceDN w:val="0"/>
        <w:adjustRightInd w:val="0"/>
        <w:spacing w:after="0" w:line="240" w:lineRule="auto"/>
        <w:jc w:val="center"/>
        <w:rPr>
          <w:rFonts w:ascii="CIDFont+F3" w:hAnsi="CIDFont+F3" w:cs="CIDFont+F3"/>
          <w:kern w:val="0"/>
          <w:sz w:val="22"/>
          <w:szCs w:val="22"/>
        </w:rPr>
      </w:pPr>
    </w:p>
    <w:p w14:paraId="4617794D" w14:textId="77777777" w:rsidR="008B1A1B" w:rsidRDefault="008B1A1B" w:rsidP="00BA7CA3">
      <w:pPr>
        <w:autoSpaceDE w:val="0"/>
        <w:autoSpaceDN w:val="0"/>
        <w:adjustRightInd w:val="0"/>
        <w:spacing w:after="0" w:line="240" w:lineRule="auto"/>
        <w:jc w:val="center"/>
        <w:rPr>
          <w:rFonts w:ascii="CIDFont+F3" w:hAnsi="CIDFont+F3" w:cs="CIDFont+F3"/>
          <w:kern w:val="0"/>
          <w:sz w:val="22"/>
          <w:szCs w:val="22"/>
        </w:rPr>
      </w:pPr>
    </w:p>
    <w:p w14:paraId="36012F49" w14:textId="77777777" w:rsidR="008B1A1B" w:rsidRDefault="008B1A1B" w:rsidP="00BA7CA3">
      <w:pPr>
        <w:autoSpaceDE w:val="0"/>
        <w:autoSpaceDN w:val="0"/>
        <w:adjustRightInd w:val="0"/>
        <w:spacing w:after="0" w:line="240" w:lineRule="auto"/>
        <w:jc w:val="center"/>
        <w:rPr>
          <w:rFonts w:ascii="CIDFont+F3" w:hAnsi="CIDFont+F3" w:cs="CIDFont+F3"/>
          <w:kern w:val="0"/>
          <w:sz w:val="22"/>
          <w:szCs w:val="22"/>
        </w:rPr>
      </w:pPr>
    </w:p>
    <w:p w14:paraId="52A0E0FD" w14:textId="77777777" w:rsidR="008B1A1B" w:rsidRDefault="008B1A1B" w:rsidP="00BA7CA3">
      <w:pPr>
        <w:autoSpaceDE w:val="0"/>
        <w:autoSpaceDN w:val="0"/>
        <w:adjustRightInd w:val="0"/>
        <w:spacing w:after="0" w:line="240" w:lineRule="auto"/>
        <w:jc w:val="center"/>
        <w:rPr>
          <w:rFonts w:ascii="CIDFont+F3" w:hAnsi="CIDFont+F3" w:cs="CIDFont+F3"/>
          <w:kern w:val="0"/>
          <w:sz w:val="22"/>
          <w:szCs w:val="22"/>
        </w:rPr>
      </w:pPr>
    </w:p>
    <w:p w14:paraId="4D97F343" w14:textId="77777777" w:rsidR="008B1A1B" w:rsidRDefault="008B1A1B" w:rsidP="00BA7CA3">
      <w:pPr>
        <w:autoSpaceDE w:val="0"/>
        <w:autoSpaceDN w:val="0"/>
        <w:adjustRightInd w:val="0"/>
        <w:spacing w:after="0" w:line="240" w:lineRule="auto"/>
        <w:jc w:val="center"/>
        <w:rPr>
          <w:rFonts w:ascii="CIDFont+F3" w:hAnsi="CIDFont+F3" w:cs="CIDFont+F3"/>
          <w:kern w:val="0"/>
          <w:sz w:val="22"/>
          <w:szCs w:val="22"/>
        </w:rPr>
      </w:pPr>
    </w:p>
    <w:p w14:paraId="4269C465" w14:textId="77777777" w:rsidR="008B1A1B" w:rsidRDefault="008B1A1B" w:rsidP="00BA7CA3">
      <w:pPr>
        <w:autoSpaceDE w:val="0"/>
        <w:autoSpaceDN w:val="0"/>
        <w:adjustRightInd w:val="0"/>
        <w:spacing w:after="0" w:line="240" w:lineRule="auto"/>
        <w:jc w:val="center"/>
        <w:rPr>
          <w:rFonts w:ascii="CIDFont+F3" w:hAnsi="CIDFont+F3" w:cs="CIDFont+F3"/>
          <w:kern w:val="0"/>
          <w:sz w:val="22"/>
          <w:szCs w:val="22"/>
        </w:rPr>
      </w:pPr>
    </w:p>
    <w:p w14:paraId="134A3962" w14:textId="77777777" w:rsidR="008B1A1B" w:rsidRDefault="008B1A1B" w:rsidP="00BA7CA3">
      <w:pPr>
        <w:autoSpaceDE w:val="0"/>
        <w:autoSpaceDN w:val="0"/>
        <w:adjustRightInd w:val="0"/>
        <w:spacing w:after="0" w:line="240" w:lineRule="auto"/>
        <w:jc w:val="center"/>
        <w:rPr>
          <w:rFonts w:ascii="CIDFont+F3" w:hAnsi="CIDFont+F3" w:cs="CIDFont+F3"/>
          <w:kern w:val="0"/>
          <w:sz w:val="22"/>
          <w:szCs w:val="22"/>
        </w:rPr>
      </w:pPr>
    </w:p>
    <w:p w14:paraId="7CAECD55" w14:textId="77777777" w:rsidR="008B1A1B" w:rsidRDefault="008B1A1B" w:rsidP="00BA7CA3">
      <w:pPr>
        <w:autoSpaceDE w:val="0"/>
        <w:autoSpaceDN w:val="0"/>
        <w:adjustRightInd w:val="0"/>
        <w:spacing w:after="0" w:line="240" w:lineRule="auto"/>
        <w:jc w:val="center"/>
        <w:rPr>
          <w:rFonts w:ascii="CIDFont+F3" w:hAnsi="CIDFont+F3" w:cs="CIDFont+F3"/>
          <w:kern w:val="0"/>
          <w:sz w:val="22"/>
          <w:szCs w:val="22"/>
        </w:rPr>
      </w:pPr>
    </w:p>
    <w:p w14:paraId="28FEAD2C" w14:textId="77777777" w:rsidR="008B1A1B" w:rsidRDefault="008B1A1B" w:rsidP="00BA7CA3">
      <w:pPr>
        <w:autoSpaceDE w:val="0"/>
        <w:autoSpaceDN w:val="0"/>
        <w:adjustRightInd w:val="0"/>
        <w:spacing w:after="0" w:line="240" w:lineRule="auto"/>
        <w:jc w:val="center"/>
        <w:rPr>
          <w:rFonts w:ascii="CIDFont+F3" w:hAnsi="CIDFont+F3" w:cs="CIDFont+F3"/>
          <w:kern w:val="0"/>
          <w:sz w:val="22"/>
          <w:szCs w:val="22"/>
        </w:rPr>
      </w:pPr>
    </w:p>
    <w:p w14:paraId="1C527698" w14:textId="41280CD6" w:rsidR="008B1A1B" w:rsidRDefault="008B1A1B" w:rsidP="00BA7CA3">
      <w:pPr>
        <w:autoSpaceDE w:val="0"/>
        <w:autoSpaceDN w:val="0"/>
        <w:adjustRightInd w:val="0"/>
        <w:spacing w:after="0" w:line="240" w:lineRule="auto"/>
        <w:jc w:val="center"/>
        <w:rPr>
          <w:rFonts w:ascii="CIDFont+F3" w:hAnsi="CIDFont+F3" w:cs="CIDFont+F3"/>
          <w:kern w:val="0"/>
          <w:sz w:val="22"/>
          <w:szCs w:val="22"/>
        </w:rPr>
      </w:pPr>
      <w:r>
        <w:rPr>
          <w:rFonts w:ascii="CIDFont+F3" w:hAnsi="CIDFont+F3" w:cs="CIDFont+F3"/>
          <w:kern w:val="0"/>
          <w:sz w:val="22"/>
          <w:szCs w:val="22"/>
        </w:rPr>
        <w:t>20 febbraio 2025</w:t>
      </w:r>
    </w:p>
    <w:p w14:paraId="66143307" w14:textId="77777777" w:rsidR="008B1A1B" w:rsidRDefault="008B1A1B" w:rsidP="00BA7CA3">
      <w:pPr>
        <w:autoSpaceDE w:val="0"/>
        <w:autoSpaceDN w:val="0"/>
        <w:adjustRightInd w:val="0"/>
        <w:spacing w:after="0" w:line="240" w:lineRule="auto"/>
        <w:jc w:val="center"/>
        <w:rPr>
          <w:rFonts w:ascii="CIDFont+F3" w:hAnsi="CIDFont+F3" w:cs="CIDFont+F3"/>
          <w:kern w:val="0"/>
          <w:sz w:val="22"/>
          <w:szCs w:val="22"/>
        </w:rPr>
      </w:pPr>
    </w:p>
    <w:p w14:paraId="1F9D8E6F" w14:textId="77777777" w:rsidR="008B1A1B" w:rsidRPr="0015070C" w:rsidRDefault="008B1A1B" w:rsidP="00BA7CA3">
      <w:pPr>
        <w:autoSpaceDE w:val="0"/>
        <w:autoSpaceDN w:val="0"/>
        <w:adjustRightInd w:val="0"/>
        <w:spacing w:after="0" w:line="240" w:lineRule="auto"/>
        <w:jc w:val="center"/>
        <w:rPr>
          <w:rFonts w:ascii="CIDFont+F3" w:hAnsi="CIDFont+F3" w:cs="CIDFont+F3"/>
          <w:kern w:val="0"/>
          <w:sz w:val="22"/>
          <w:szCs w:val="22"/>
        </w:rPr>
      </w:pPr>
    </w:p>
    <w:p w14:paraId="53F5E3F7" w14:textId="7815D95D" w:rsidR="0015070C" w:rsidRPr="0015070C" w:rsidRDefault="0015070C" w:rsidP="008B1A1B">
      <w:pPr>
        <w:autoSpaceDE w:val="0"/>
        <w:autoSpaceDN w:val="0"/>
        <w:adjustRightInd w:val="0"/>
        <w:spacing w:after="0" w:line="240" w:lineRule="auto"/>
        <w:rPr>
          <w:rFonts w:ascii="CIDFont+F3" w:hAnsi="CIDFont+F3" w:cs="CIDFont+F3"/>
          <w:kern w:val="0"/>
          <w:sz w:val="22"/>
          <w:szCs w:val="22"/>
        </w:rPr>
      </w:pPr>
    </w:p>
    <w:p w14:paraId="415574CA"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4D74E621"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509AA650"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72A02756"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2159563C"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79932E92"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1259C689"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4DB211C6"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727181CF"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6889C2B8"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0121A3A7"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676AC6E1"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290DD394"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02CC388F"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48F08710"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44667C27"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56BE3E0F" w14:textId="77777777" w:rsidR="008B1A1B" w:rsidRDefault="00BA7CA3" w:rsidP="008B1A1B">
      <w:pPr>
        <w:autoSpaceDE w:val="0"/>
        <w:autoSpaceDN w:val="0"/>
        <w:adjustRightInd w:val="0"/>
        <w:spacing w:after="0" w:line="240" w:lineRule="auto"/>
        <w:jc w:val="center"/>
        <w:rPr>
          <w:rFonts w:ascii="CIDFont+F2" w:hAnsi="CIDFont+F2" w:cs="CIDFont+F2"/>
          <w:i/>
          <w:iCs/>
          <w:kern w:val="0"/>
          <w:sz w:val="22"/>
          <w:szCs w:val="22"/>
        </w:rPr>
      </w:pPr>
      <w:r w:rsidRPr="008B1A1B">
        <w:rPr>
          <w:rFonts w:ascii="CIDFont+F2" w:hAnsi="CIDFont+F2" w:cs="CIDFont+F2"/>
          <w:i/>
          <w:iCs/>
          <w:kern w:val="0"/>
          <w:sz w:val="22"/>
          <w:szCs w:val="22"/>
        </w:rPr>
        <w:t>Il decreto-legge 27 dicembre 2024 n. 202 recante</w:t>
      </w:r>
    </w:p>
    <w:p w14:paraId="7E186F6E" w14:textId="77777777" w:rsidR="008B1A1B" w:rsidRDefault="00BA7CA3" w:rsidP="008B1A1B">
      <w:pPr>
        <w:autoSpaceDE w:val="0"/>
        <w:autoSpaceDN w:val="0"/>
        <w:adjustRightInd w:val="0"/>
        <w:spacing w:after="0" w:line="240" w:lineRule="auto"/>
        <w:jc w:val="center"/>
        <w:rPr>
          <w:rFonts w:ascii="CIDFont+F2" w:hAnsi="CIDFont+F2" w:cs="CIDFont+F2"/>
          <w:i/>
          <w:iCs/>
          <w:kern w:val="0"/>
          <w:sz w:val="22"/>
          <w:szCs w:val="22"/>
        </w:rPr>
      </w:pPr>
      <w:r w:rsidRPr="008B1A1B">
        <w:rPr>
          <w:rFonts w:ascii="CIDFont+F2" w:hAnsi="CIDFont+F2" w:cs="CIDFont+F2"/>
          <w:i/>
          <w:iCs/>
          <w:kern w:val="0"/>
          <w:sz w:val="22"/>
          <w:szCs w:val="22"/>
        </w:rPr>
        <w:t xml:space="preserve"> “</w:t>
      </w:r>
      <w:r w:rsidRPr="008B1A1B">
        <w:rPr>
          <w:rFonts w:ascii="CIDFont+F5" w:hAnsi="CIDFont+F5" w:cs="CIDFont+F5"/>
          <w:i/>
          <w:iCs/>
          <w:kern w:val="0"/>
          <w:sz w:val="22"/>
          <w:szCs w:val="22"/>
        </w:rPr>
        <w:t>Disposizioni urgenti in materia di termini normativi</w:t>
      </w:r>
      <w:r w:rsidRPr="008B1A1B">
        <w:rPr>
          <w:rFonts w:ascii="CIDFont+F2" w:hAnsi="CIDFont+F2" w:cs="CIDFont+F2"/>
          <w:i/>
          <w:iCs/>
          <w:kern w:val="0"/>
          <w:sz w:val="22"/>
          <w:szCs w:val="22"/>
        </w:rPr>
        <w:t xml:space="preserve">” -cd milleproroghe- </w:t>
      </w:r>
    </w:p>
    <w:p w14:paraId="3289C20A" w14:textId="77777777" w:rsidR="008B1A1B" w:rsidRDefault="00BA7CA3" w:rsidP="008B1A1B">
      <w:pPr>
        <w:autoSpaceDE w:val="0"/>
        <w:autoSpaceDN w:val="0"/>
        <w:adjustRightInd w:val="0"/>
        <w:spacing w:after="0" w:line="240" w:lineRule="auto"/>
        <w:jc w:val="center"/>
        <w:rPr>
          <w:rFonts w:ascii="CIDFont+F2" w:hAnsi="CIDFont+F2" w:cs="CIDFont+F2"/>
          <w:i/>
          <w:iCs/>
          <w:kern w:val="0"/>
          <w:sz w:val="22"/>
          <w:szCs w:val="22"/>
        </w:rPr>
      </w:pPr>
      <w:r w:rsidRPr="008B1A1B">
        <w:rPr>
          <w:rFonts w:ascii="CIDFont+F2" w:hAnsi="CIDFont+F2" w:cs="CIDFont+F2"/>
          <w:i/>
          <w:iCs/>
          <w:kern w:val="0"/>
          <w:sz w:val="22"/>
          <w:szCs w:val="22"/>
        </w:rPr>
        <w:t>è stato approvato dal Senato con voto di fiducia il 13 febbraio 2025</w:t>
      </w:r>
      <w:r w:rsidR="00F034BC" w:rsidRPr="008B1A1B">
        <w:rPr>
          <w:rFonts w:ascii="CIDFont+F2" w:hAnsi="CIDFont+F2" w:cs="CIDFont+F2"/>
          <w:i/>
          <w:iCs/>
          <w:kern w:val="0"/>
          <w:sz w:val="22"/>
          <w:szCs w:val="22"/>
        </w:rPr>
        <w:t xml:space="preserve"> </w:t>
      </w:r>
    </w:p>
    <w:p w14:paraId="3DD07FE1" w14:textId="0A77D742" w:rsidR="00BA7CA3" w:rsidRPr="008B1A1B" w:rsidRDefault="00F034BC" w:rsidP="008B1A1B">
      <w:pPr>
        <w:autoSpaceDE w:val="0"/>
        <w:autoSpaceDN w:val="0"/>
        <w:adjustRightInd w:val="0"/>
        <w:spacing w:after="0" w:line="240" w:lineRule="auto"/>
        <w:jc w:val="center"/>
        <w:rPr>
          <w:rFonts w:ascii="CIDFont+F2" w:hAnsi="CIDFont+F2" w:cs="CIDFont+F2"/>
          <w:i/>
          <w:iCs/>
          <w:kern w:val="0"/>
          <w:sz w:val="22"/>
          <w:szCs w:val="22"/>
        </w:rPr>
      </w:pPr>
      <w:r w:rsidRPr="008B1A1B">
        <w:rPr>
          <w:rFonts w:ascii="CIDFont+F2" w:hAnsi="CIDFont+F2" w:cs="CIDFont+F2"/>
          <w:i/>
          <w:iCs/>
          <w:kern w:val="0"/>
          <w:sz w:val="22"/>
          <w:szCs w:val="22"/>
        </w:rPr>
        <w:t xml:space="preserve">e definitivamente alla Camera sempre con voto di fiducia il </w:t>
      </w:r>
      <w:r w:rsidR="008B1A1B" w:rsidRPr="008B1A1B">
        <w:rPr>
          <w:rFonts w:ascii="CIDFont+F2" w:hAnsi="CIDFont+F2" w:cs="CIDFont+F2"/>
          <w:i/>
          <w:iCs/>
          <w:kern w:val="0"/>
          <w:sz w:val="22"/>
          <w:szCs w:val="22"/>
        </w:rPr>
        <w:t>19 febbraio 2025.</w:t>
      </w:r>
    </w:p>
    <w:p w14:paraId="35240077" w14:textId="77777777" w:rsidR="00AA7BA6" w:rsidRPr="008B1A1B" w:rsidRDefault="00AA7BA6" w:rsidP="008B1A1B">
      <w:pPr>
        <w:autoSpaceDE w:val="0"/>
        <w:autoSpaceDN w:val="0"/>
        <w:adjustRightInd w:val="0"/>
        <w:spacing w:after="0" w:line="240" w:lineRule="auto"/>
        <w:jc w:val="center"/>
        <w:rPr>
          <w:rFonts w:ascii="CIDFont+F2" w:hAnsi="CIDFont+F2" w:cs="CIDFont+F2"/>
          <w:i/>
          <w:iCs/>
          <w:kern w:val="0"/>
          <w:sz w:val="22"/>
          <w:szCs w:val="22"/>
        </w:rPr>
      </w:pPr>
    </w:p>
    <w:p w14:paraId="55767BF9" w14:textId="223273EB" w:rsidR="00BA7CA3" w:rsidRPr="008B1A1B" w:rsidRDefault="00BA7CA3" w:rsidP="008B1A1B">
      <w:pPr>
        <w:autoSpaceDE w:val="0"/>
        <w:autoSpaceDN w:val="0"/>
        <w:adjustRightInd w:val="0"/>
        <w:spacing w:after="0" w:line="240" w:lineRule="auto"/>
        <w:jc w:val="center"/>
        <w:rPr>
          <w:rFonts w:ascii="CIDFont+F2" w:hAnsi="CIDFont+F2" w:cs="CIDFont+F2"/>
          <w:i/>
          <w:iCs/>
          <w:kern w:val="0"/>
          <w:sz w:val="22"/>
          <w:szCs w:val="22"/>
        </w:rPr>
      </w:pPr>
      <w:r w:rsidRPr="008B1A1B">
        <w:rPr>
          <w:rFonts w:ascii="CIDFont+F2" w:hAnsi="CIDFont+F2" w:cs="CIDFont+F2"/>
          <w:i/>
          <w:iCs/>
          <w:kern w:val="0"/>
          <w:sz w:val="22"/>
          <w:szCs w:val="22"/>
        </w:rPr>
        <w:t xml:space="preserve">Si riportano di seguito i contenuti sintetici delle norme </w:t>
      </w:r>
      <w:r w:rsidR="00AA7BA6" w:rsidRPr="008B1A1B">
        <w:rPr>
          <w:rFonts w:ascii="CIDFont+F2" w:hAnsi="CIDFont+F2" w:cs="CIDFont+F2"/>
          <w:i/>
          <w:iCs/>
          <w:kern w:val="0"/>
          <w:sz w:val="22"/>
          <w:szCs w:val="22"/>
        </w:rPr>
        <w:t>di interesse delle Province</w:t>
      </w:r>
      <w:r w:rsidRPr="008B1A1B">
        <w:rPr>
          <w:rFonts w:ascii="CIDFont+F2" w:hAnsi="CIDFont+F2" w:cs="CIDFont+F2"/>
          <w:i/>
          <w:iCs/>
          <w:kern w:val="0"/>
          <w:sz w:val="22"/>
          <w:szCs w:val="22"/>
        </w:rPr>
        <w:t>.</w:t>
      </w:r>
    </w:p>
    <w:p w14:paraId="165BC607"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02500CED"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7EA6612E"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0B0239DD"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188BCE4C"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37FAD54C"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1BBEE159"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64A8083B"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3C92B05F"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246E3B13"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44E5CD63"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42578B64"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016C3A06"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3ECBDB60"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34BCB5B8"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3B423FEC"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1434CCA1"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7C9295C7"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042F00B4"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55B38D17"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68A531F6"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0ED4ECE6"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676C0A88"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56B836AA"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092FE8C4"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6584D0EF"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282C5A54"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25D8B5CA"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1CD96225"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6A17A981" w14:textId="77777777" w:rsidR="008B1A1B" w:rsidRDefault="008B1A1B" w:rsidP="00BA7CA3">
      <w:pPr>
        <w:autoSpaceDE w:val="0"/>
        <w:autoSpaceDN w:val="0"/>
        <w:adjustRightInd w:val="0"/>
        <w:spacing w:after="0" w:line="240" w:lineRule="auto"/>
        <w:jc w:val="both"/>
        <w:rPr>
          <w:rFonts w:ascii="CIDFont+F2" w:hAnsi="CIDFont+F2" w:cs="CIDFont+F2"/>
          <w:kern w:val="0"/>
          <w:sz w:val="22"/>
          <w:szCs w:val="22"/>
        </w:rPr>
      </w:pPr>
    </w:p>
    <w:p w14:paraId="445FB858" w14:textId="77777777" w:rsidR="00E76549" w:rsidRPr="00E76549" w:rsidRDefault="0088088F" w:rsidP="00E76549">
      <w:pPr>
        <w:spacing w:after="0"/>
        <w:jc w:val="center"/>
        <w:rPr>
          <w:rFonts w:ascii="CIDFont+F5" w:hAnsi="CIDFont+F5" w:cs="CIDFont+F5"/>
          <w:b/>
          <w:bCs/>
          <w:kern w:val="0"/>
          <w:sz w:val="22"/>
          <w:szCs w:val="22"/>
        </w:rPr>
      </w:pPr>
      <w:r w:rsidRPr="00E76549">
        <w:rPr>
          <w:rFonts w:ascii="CIDFont+F5" w:hAnsi="CIDFont+F5" w:cs="CIDFont+F5"/>
          <w:b/>
          <w:bCs/>
          <w:kern w:val="0"/>
          <w:sz w:val="22"/>
          <w:szCs w:val="22"/>
        </w:rPr>
        <w:lastRenderedPageBreak/>
        <w:t>Articolo 1, commi 2 e 3</w:t>
      </w:r>
    </w:p>
    <w:p w14:paraId="57B3673E" w14:textId="272FDA9E" w:rsidR="0088088F" w:rsidRDefault="0088088F" w:rsidP="00E76549">
      <w:pPr>
        <w:spacing w:after="0"/>
        <w:jc w:val="center"/>
        <w:rPr>
          <w:rFonts w:ascii="CIDFont+F5" w:hAnsi="CIDFont+F5" w:cs="CIDFont+F5"/>
          <w:b/>
          <w:bCs/>
          <w:kern w:val="0"/>
          <w:sz w:val="22"/>
          <w:szCs w:val="22"/>
        </w:rPr>
      </w:pPr>
      <w:r w:rsidRPr="00E76549">
        <w:rPr>
          <w:rFonts w:ascii="CIDFont+F5" w:hAnsi="CIDFont+F5" w:cs="CIDFont+F5"/>
          <w:b/>
          <w:bCs/>
          <w:kern w:val="0"/>
          <w:sz w:val="22"/>
          <w:szCs w:val="22"/>
        </w:rPr>
        <w:t>(Disposizioni in materia di versamenti contributivi da parte delle pubbliche amministrazioni)</w:t>
      </w:r>
    </w:p>
    <w:p w14:paraId="17160E9A" w14:textId="77777777" w:rsidR="00D708FD" w:rsidRDefault="00D708FD" w:rsidP="00D708FD">
      <w:pPr>
        <w:pBdr>
          <w:top w:val="single" w:sz="4" w:space="1" w:color="auto"/>
          <w:left w:val="single" w:sz="4" w:space="4" w:color="auto"/>
          <w:bottom w:val="single" w:sz="4" w:space="1" w:color="auto"/>
          <w:right w:val="single" w:sz="4" w:space="4" w:color="auto"/>
        </w:pBdr>
        <w:spacing w:after="0"/>
        <w:jc w:val="both"/>
        <w:rPr>
          <w:rFonts w:ascii="CIDFont+F2" w:hAnsi="CIDFont+F2" w:cs="CIDFont+F2"/>
          <w:i/>
          <w:iCs/>
          <w:kern w:val="0"/>
          <w:sz w:val="22"/>
          <w:szCs w:val="22"/>
        </w:rPr>
      </w:pPr>
      <w:r w:rsidRPr="00D708FD">
        <w:rPr>
          <w:rFonts w:ascii="CIDFont+F2" w:hAnsi="CIDFont+F2" w:cs="CIDFont+F2"/>
          <w:i/>
          <w:iCs/>
          <w:kern w:val="0"/>
          <w:sz w:val="22"/>
          <w:szCs w:val="22"/>
        </w:rPr>
        <w:t>2. All’articolo 3 della legge 8 agosto 1995, n. 335, recante disposizioni in materia assistenziale e previdenziale, sono apportate le seguenti modificazioni</w:t>
      </w:r>
      <w:r>
        <w:rPr>
          <w:rFonts w:ascii="CIDFont+F2" w:hAnsi="CIDFont+F2" w:cs="CIDFont+F2"/>
          <w:i/>
          <w:iCs/>
          <w:kern w:val="0"/>
          <w:sz w:val="22"/>
          <w:szCs w:val="22"/>
        </w:rPr>
        <w:t>:</w:t>
      </w:r>
    </w:p>
    <w:p w14:paraId="2127EB97" w14:textId="77777777" w:rsidR="00D708FD" w:rsidRDefault="00D708FD" w:rsidP="00D708FD">
      <w:pPr>
        <w:pBdr>
          <w:top w:val="single" w:sz="4" w:space="1" w:color="auto"/>
          <w:left w:val="single" w:sz="4" w:space="4" w:color="auto"/>
          <w:bottom w:val="single" w:sz="4" w:space="1" w:color="auto"/>
          <w:right w:val="single" w:sz="4" w:space="4" w:color="auto"/>
        </w:pBdr>
        <w:spacing w:after="0"/>
        <w:jc w:val="both"/>
        <w:rPr>
          <w:rFonts w:ascii="CIDFont+F2" w:hAnsi="CIDFont+F2" w:cs="CIDFont+F2"/>
          <w:i/>
          <w:iCs/>
          <w:kern w:val="0"/>
          <w:sz w:val="22"/>
          <w:szCs w:val="22"/>
        </w:rPr>
      </w:pPr>
      <w:r w:rsidRPr="00D708FD">
        <w:rPr>
          <w:rFonts w:ascii="CIDFont+F2" w:hAnsi="CIDFont+F2" w:cs="CIDFont+F2"/>
          <w:i/>
          <w:iCs/>
          <w:kern w:val="0"/>
          <w:sz w:val="22"/>
          <w:szCs w:val="22"/>
        </w:rPr>
        <w:t xml:space="preserve"> a) al comma 10-bis, relativo alla sospensione dei termini prescrizionali per gli obblighi contributivi in favore dei dipendenti delle amministrazioni pubbliche di cui al decreto legislativo 30 marzo 2001, n. 165, le parole: </w:t>
      </w:r>
      <w:proofErr w:type="gramStart"/>
      <w:r w:rsidRPr="00D708FD">
        <w:rPr>
          <w:rFonts w:ascii="CIDFont+F2" w:hAnsi="CIDFont+F2" w:cs="CIDFont+F2"/>
          <w:i/>
          <w:iCs/>
          <w:kern w:val="0"/>
          <w:sz w:val="22"/>
          <w:szCs w:val="22"/>
        </w:rPr>
        <w:t>« 31</w:t>
      </w:r>
      <w:proofErr w:type="gramEnd"/>
      <w:r w:rsidRPr="00D708FD">
        <w:rPr>
          <w:rFonts w:ascii="CIDFont+F2" w:hAnsi="CIDFont+F2" w:cs="CIDFont+F2"/>
          <w:i/>
          <w:iCs/>
          <w:kern w:val="0"/>
          <w:sz w:val="22"/>
          <w:szCs w:val="22"/>
        </w:rPr>
        <w:t xml:space="preserve"> dicembre 2019 » sono sostituite dalle seguenti: « 31 dicembre 2020 » e le parole: « 31 dicembre 2024 » sono sostituite dalle seguenti: « 31 dicembre 2025 »; </w:t>
      </w:r>
    </w:p>
    <w:p w14:paraId="7547B941" w14:textId="53B78579" w:rsidR="00E76549" w:rsidRPr="00D708FD" w:rsidRDefault="00D708FD" w:rsidP="00D708FD">
      <w:pPr>
        <w:pBdr>
          <w:top w:val="single" w:sz="4" w:space="1" w:color="auto"/>
          <w:left w:val="single" w:sz="4" w:space="4" w:color="auto"/>
          <w:bottom w:val="single" w:sz="4" w:space="1" w:color="auto"/>
          <w:right w:val="single" w:sz="4" w:space="4" w:color="auto"/>
        </w:pBdr>
        <w:spacing w:after="0"/>
        <w:jc w:val="both"/>
        <w:rPr>
          <w:rFonts w:ascii="CIDFont+F2" w:hAnsi="CIDFont+F2" w:cs="CIDFont+F2"/>
          <w:i/>
          <w:iCs/>
          <w:kern w:val="0"/>
          <w:sz w:val="22"/>
          <w:szCs w:val="22"/>
        </w:rPr>
      </w:pPr>
      <w:r w:rsidRPr="00D708FD">
        <w:rPr>
          <w:rFonts w:ascii="CIDFont+F2" w:hAnsi="CIDFont+F2" w:cs="CIDFont+F2"/>
          <w:i/>
          <w:iCs/>
          <w:kern w:val="0"/>
          <w:sz w:val="22"/>
          <w:szCs w:val="22"/>
        </w:rPr>
        <w:t xml:space="preserve">b) al comma 10-ter, relativo alla sospensione dei termini prescrizionali per gli obblighi contributivi in favore dei collaboratori coordinati e continuativi e figure assimilate, le parole: «31 dicembre 2024» sono sostituite dalle seguenti: </w:t>
      </w:r>
      <w:proofErr w:type="gramStart"/>
      <w:r w:rsidRPr="00D708FD">
        <w:rPr>
          <w:rFonts w:ascii="CIDFont+F2" w:hAnsi="CIDFont+F2" w:cs="CIDFont+F2"/>
          <w:i/>
          <w:iCs/>
          <w:kern w:val="0"/>
          <w:sz w:val="22"/>
          <w:szCs w:val="22"/>
        </w:rPr>
        <w:t>« 31</w:t>
      </w:r>
      <w:proofErr w:type="gramEnd"/>
      <w:r w:rsidRPr="00D708FD">
        <w:rPr>
          <w:rFonts w:ascii="CIDFont+F2" w:hAnsi="CIDFont+F2" w:cs="CIDFont+F2"/>
          <w:i/>
          <w:iCs/>
          <w:kern w:val="0"/>
          <w:sz w:val="22"/>
          <w:szCs w:val="22"/>
        </w:rPr>
        <w:t xml:space="preserve"> dicembre 2025»</w:t>
      </w:r>
    </w:p>
    <w:p w14:paraId="7230C332" w14:textId="30CE9813" w:rsidR="00D708FD" w:rsidRPr="00D708FD" w:rsidRDefault="00D708FD" w:rsidP="00D708FD">
      <w:pPr>
        <w:pBdr>
          <w:top w:val="single" w:sz="4" w:space="1" w:color="auto"/>
          <w:left w:val="single" w:sz="4" w:space="4" w:color="auto"/>
          <w:bottom w:val="single" w:sz="4" w:space="1" w:color="auto"/>
          <w:right w:val="single" w:sz="4" w:space="4" w:color="auto"/>
        </w:pBdr>
        <w:spacing w:after="0"/>
        <w:jc w:val="both"/>
        <w:rPr>
          <w:rFonts w:ascii="CIDFont+F2" w:hAnsi="CIDFont+F2" w:cs="CIDFont+F2"/>
          <w:i/>
          <w:iCs/>
          <w:kern w:val="0"/>
          <w:sz w:val="22"/>
          <w:szCs w:val="22"/>
        </w:rPr>
      </w:pPr>
      <w:r w:rsidRPr="00D708FD">
        <w:rPr>
          <w:rFonts w:ascii="CIDFont+F2" w:hAnsi="CIDFont+F2" w:cs="CIDFont+F2"/>
          <w:i/>
          <w:iCs/>
          <w:kern w:val="0"/>
          <w:sz w:val="22"/>
          <w:szCs w:val="22"/>
        </w:rPr>
        <w:t>3. All’articolo 9, comma 4, del decreto</w:t>
      </w:r>
      <w:r>
        <w:rPr>
          <w:rFonts w:ascii="CIDFont+F2" w:hAnsi="CIDFont+F2" w:cs="CIDFont+F2"/>
          <w:i/>
          <w:iCs/>
          <w:kern w:val="0"/>
          <w:sz w:val="22"/>
          <w:szCs w:val="22"/>
        </w:rPr>
        <w:t xml:space="preserve"> </w:t>
      </w:r>
      <w:r w:rsidRPr="00D708FD">
        <w:rPr>
          <w:rFonts w:ascii="CIDFont+F2" w:hAnsi="CIDFont+F2" w:cs="CIDFont+F2"/>
          <w:i/>
          <w:iCs/>
          <w:kern w:val="0"/>
          <w:sz w:val="22"/>
          <w:szCs w:val="22"/>
        </w:rPr>
        <w:t xml:space="preserve">legge 30 dicembre 2021, n. 228, convertito, con modificazioni, dalla legge 25 febbraio 2022, n. 15, relativo al regime sanzionatorio per il mancato pagamento nei termini dei contributi previdenziali e assistenziali da parte delle pubbliche amministrazioni, le parole: «31 dicembre 2024» sono sostituite dalle seguenti: </w:t>
      </w:r>
      <w:proofErr w:type="gramStart"/>
      <w:r w:rsidRPr="00D708FD">
        <w:rPr>
          <w:rFonts w:ascii="CIDFont+F2" w:hAnsi="CIDFont+F2" w:cs="CIDFont+F2"/>
          <w:i/>
          <w:iCs/>
          <w:kern w:val="0"/>
          <w:sz w:val="22"/>
          <w:szCs w:val="22"/>
        </w:rPr>
        <w:t>« 31</w:t>
      </w:r>
      <w:proofErr w:type="gramEnd"/>
      <w:r w:rsidRPr="00D708FD">
        <w:rPr>
          <w:rFonts w:ascii="CIDFont+F2" w:hAnsi="CIDFont+F2" w:cs="CIDFont+F2"/>
          <w:i/>
          <w:iCs/>
          <w:kern w:val="0"/>
          <w:sz w:val="22"/>
          <w:szCs w:val="22"/>
        </w:rPr>
        <w:t xml:space="preserve"> dicembre 2025 »</w:t>
      </w:r>
    </w:p>
    <w:p w14:paraId="75CD313B" w14:textId="77777777" w:rsidR="00D708FD" w:rsidRDefault="00D708FD" w:rsidP="00E76549">
      <w:pPr>
        <w:spacing w:after="0"/>
        <w:jc w:val="center"/>
      </w:pPr>
    </w:p>
    <w:p w14:paraId="188CA9E4" w14:textId="77777777" w:rsidR="0088088F" w:rsidRPr="00E76549" w:rsidRDefault="0088088F" w:rsidP="00E76549">
      <w:pPr>
        <w:jc w:val="both"/>
        <w:rPr>
          <w:rFonts w:ascii="CIDFont+F5" w:hAnsi="CIDFont+F5" w:cs="CIDFont+F5"/>
          <w:kern w:val="0"/>
          <w:sz w:val="22"/>
          <w:szCs w:val="22"/>
        </w:rPr>
      </w:pPr>
      <w:r w:rsidRPr="00E76549">
        <w:rPr>
          <w:rFonts w:ascii="CIDFont+F5" w:hAnsi="CIDFont+F5" w:cs="CIDFont+F5"/>
          <w:kern w:val="0"/>
          <w:sz w:val="22"/>
          <w:szCs w:val="22"/>
        </w:rPr>
        <w:t>Il comma 2 dell’articolo 1 modifica i termini di due normative transitorie, relative alla prescrizione temporale delle contribuzioni di previdenza e di assistenza sociale obbligatoria inerenti ai dipendenti pubblici (lettera a)) e ai soggetti (lettera b)) titolari con pubbliche amministrazioni di rapporti di collaborazione coordinata e continuativa (o di rapporti assimilati a quest’ultima categoria). Il successivo comma 3 prevede, in coordinamento con le novelle di cui al comma 2, un differimento dal 31 dicembre 2024 al 31 dicembre 2025 del termine finale di applicazione della norma transitoria che, per i casi di mancato versamento delle suddette contribuzioni da parte delle pubbliche amministrazioni, esclude l’applicazione delle sanzioni civili e degli interessi di mora.</w:t>
      </w:r>
    </w:p>
    <w:p w14:paraId="790CF420" w14:textId="77777777" w:rsidR="00D708FD" w:rsidRPr="00E76549" w:rsidRDefault="00D708FD" w:rsidP="00E76549">
      <w:pPr>
        <w:jc w:val="both"/>
        <w:rPr>
          <w:rFonts w:ascii="CIDFont+F5" w:hAnsi="CIDFont+F5" w:cs="CIDFont+F5"/>
          <w:kern w:val="0"/>
          <w:sz w:val="22"/>
          <w:szCs w:val="22"/>
        </w:rPr>
      </w:pPr>
    </w:p>
    <w:p w14:paraId="70BA2F1A" w14:textId="77777777" w:rsidR="00F034BC" w:rsidRDefault="0088088F" w:rsidP="00F034BC">
      <w:pPr>
        <w:spacing w:after="0"/>
        <w:jc w:val="center"/>
        <w:rPr>
          <w:rFonts w:ascii="CIDFont+F5" w:hAnsi="CIDFont+F5" w:cs="CIDFont+F5"/>
          <w:b/>
          <w:bCs/>
          <w:kern w:val="0"/>
          <w:sz w:val="22"/>
          <w:szCs w:val="22"/>
        </w:rPr>
      </w:pPr>
      <w:r w:rsidRPr="00D708FD">
        <w:rPr>
          <w:rFonts w:ascii="CIDFont+F5" w:hAnsi="CIDFont+F5" w:cs="CIDFont+F5"/>
          <w:b/>
          <w:bCs/>
          <w:kern w:val="0"/>
          <w:sz w:val="22"/>
          <w:szCs w:val="22"/>
        </w:rPr>
        <w:t>Articolo 1, comma 9</w:t>
      </w:r>
      <w:r w:rsidR="00D708FD" w:rsidRPr="00D708FD">
        <w:rPr>
          <w:rFonts w:ascii="CIDFont+F5" w:hAnsi="CIDFont+F5" w:cs="CIDFont+F5"/>
          <w:b/>
          <w:bCs/>
          <w:kern w:val="0"/>
          <w:sz w:val="22"/>
          <w:szCs w:val="22"/>
        </w:rPr>
        <w:t xml:space="preserve"> </w:t>
      </w:r>
    </w:p>
    <w:p w14:paraId="361A9832" w14:textId="413D88E9" w:rsidR="0088088F" w:rsidRPr="00D708FD" w:rsidRDefault="0088088F" w:rsidP="00F034BC">
      <w:pPr>
        <w:spacing w:after="0"/>
        <w:jc w:val="center"/>
        <w:rPr>
          <w:rFonts w:ascii="CIDFont+F5" w:hAnsi="CIDFont+F5" w:cs="CIDFont+F5"/>
          <w:b/>
          <w:bCs/>
          <w:kern w:val="0"/>
          <w:sz w:val="22"/>
          <w:szCs w:val="22"/>
        </w:rPr>
      </w:pPr>
      <w:r w:rsidRPr="00D708FD">
        <w:rPr>
          <w:rFonts w:ascii="CIDFont+F5" w:hAnsi="CIDFont+F5" w:cs="CIDFont+F5"/>
          <w:b/>
          <w:bCs/>
          <w:kern w:val="0"/>
          <w:sz w:val="22"/>
          <w:szCs w:val="22"/>
        </w:rPr>
        <w:t>(Responsabilità erariale)</w:t>
      </w:r>
    </w:p>
    <w:p w14:paraId="24657D21" w14:textId="564A24D5" w:rsidR="00D708FD" w:rsidRPr="00D708FD" w:rsidRDefault="00D708FD" w:rsidP="00D708FD">
      <w:pPr>
        <w:pBdr>
          <w:top w:val="single" w:sz="4" w:space="1" w:color="auto"/>
          <w:left w:val="single" w:sz="4" w:space="4" w:color="auto"/>
          <w:bottom w:val="single" w:sz="4" w:space="1" w:color="auto"/>
          <w:right w:val="single" w:sz="4" w:space="4" w:color="auto"/>
        </w:pBdr>
        <w:jc w:val="both"/>
        <w:rPr>
          <w:rFonts w:ascii="CIDFont+F2" w:hAnsi="CIDFont+F2" w:cs="CIDFont+F2"/>
          <w:i/>
          <w:iCs/>
          <w:kern w:val="0"/>
          <w:sz w:val="22"/>
          <w:szCs w:val="22"/>
        </w:rPr>
      </w:pPr>
      <w:r w:rsidRPr="00D708FD">
        <w:rPr>
          <w:rFonts w:ascii="CIDFont+F2" w:hAnsi="CIDFont+F2" w:cs="CIDFont+F2"/>
          <w:i/>
          <w:iCs/>
          <w:kern w:val="0"/>
          <w:sz w:val="22"/>
          <w:szCs w:val="22"/>
        </w:rPr>
        <w:t xml:space="preserve">9. All’articolo 21, comma 2, del </w:t>
      </w:r>
      <w:proofErr w:type="gramStart"/>
      <w:r w:rsidRPr="00D708FD">
        <w:rPr>
          <w:rFonts w:ascii="CIDFont+F2" w:hAnsi="CIDFont+F2" w:cs="CIDFont+F2"/>
          <w:i/>
          <w:iCs/>
          <w:kern w:val="0"/>
          <w:sz w:val="22"/>
          <w:szCs w:val="22"/>
        </w:rPr>
        <w:t>decreto legge</w:t>
      </w:r>
      <w:proofErr w:type="gramEnd"/>
      <w:r w:rsidRPr="00D708FD">
        <w:rPr>
          <w:rFonts w:ascii="CIDFont+F2" w:hAnsi="CIDFont+F2" w:cs="CIDFont+F2"/>
          <w:i/>
          <w:iCs/>
          <w:kern w:val="0"/>
          <w:sz w:val="22"/>
          <w:szCs w:val="22"/>
        </w:rPr>
        <w:t xml:space="preserve"> 16 luglio 2020, n. 76, convertito con modificazioni dalla legge 11 settembre 2020, n. 120, relativo alla responsabilità erariale le parole: «31</w:t>
      </w:r>
      <w:r>
        <w:t xml:space="preserve"> </w:t>
      </w:r>
      <w:r w:rsidRPr="00D708FD">
        <w:rPr>
          <w:rFonts w:ascii="CIDFont+F2" w:hAnsi="CIDFont+F2" w:cs="CIDFont+F2"/>
          <w:i/>
          <w:iCs/>
          <w:kern w:val="0"/>
          <w:sz w:val="22"/>
          <w:szCs w:val="22"/>
        </w:rPr>
        <w:t>dicembre 2024» sono sostituite dalle seguenti: «30 aprile 2025»</w:t>
      </w:r>
    </w:p>
    <w:p w14:paraId="354D9540" w14:textId="137FAEE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 xml:space="preserve">L’articolo 1, comma 9, proroga di quattro mesi, e precisamente dal 31 dicembre 2024 al 30 aprile 2025, la disposizione del decreto-legge n. 76/2020 che limita la responsabilità erariale di amministratori, dipendenti pubblici e privati cui è affidata la gestione di pubbliche risorse ai danni cagionati dalle sole condotte </w:t>
      </w:r>
      <w:proofErr w:type="gramStart"/>
      <w:r w:rsidRPr="00E76549">
        <w:rPr>
          <w:rFonts w:ascii="CIDFont+F5" w:hAnsi="CIDFont+F5" w:cs="CIDFont+F5"/>
          <w:kern w:val="0"/>
          <w:sz w:val="22"/>
          <w:szCs w:val="22"/>
        </w:rPr>
        <w:t>poste in essere</w:t>
      </w:r>
      <w:proofErr w:type="gramEnd"/>
      <w:r w:rsidRPr="00E76549">
        <w:rPr>
          <w:rFonts w:ascii="CIDFont+F5" w:hAnsi="CIDFont+F5" w:cs="CIDFont+F5"/>
          <w:kern w:val="0"/>
          <w:sz w:val="22"/>
          <w:szCs w:val="22"/>
        </w:rPr>
        <w:t xml:space="preserve"> con dolo, escludendo quindi ogni responsabilità per colpa grave.</w:t>
      </w:r>
    </w:p>
    <w:p w14:paraId="7C637EFB"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A tal fine la disposizione in esame modifica l’articolo 21, comma 2, del decreto-legge n. 76 del 2020 (conv. L. n. 120/2020), che ha introdotto tale regime speciale di responsabilità erariale, più volte prorogato.</w:t>
      </w:r>
    </w:p>
    <w:p w14:paraId="100B4F02"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Nel testo finora vigente, la disposizione limita, con riguardo ai fatti commessi dal 17 luglio 2020 (data di entrata in vigore del citato decreto-legge) al 31 dicembre 2024, la responsabilità dei soggetti sottoposti alla giurisdizione della Corte dei conti in materia di contabilità pubblica per l'azione di responsabilità, ai soli casi in cui la produzione del danno conseguente alla condotta del soggetto agente sia stata compiuta con dolo.</w:t>
      </w:r>
    </w:p>
    <w:p w14:paraId="1CE2C1E4"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Questa limitazione di responsabilità si applica ai danni cagionati dalle sole condotte attive, mentre nel caso di danni cagionati da omissione o inerzia del soggetto che avrebbe dovuto attivarsi e non lo ha fatto, il soggetto agente continua a risponderne sia a titolo di dolo, sia di colpa grave.</w:t>
      </w:r>
    </w:p>
    <w:p w14:paraId="44A720AD" w14:textId="624ADC93" w:rsidR="00F034BC" w:rsidRDefault="00F034BC" w:rsidP="00F034BC">
      <w:pPr>
        <w:autoSpaceDE w:val="0"/>
        <w:autoSpaceDN w:val="0"/>
        <w:adjustRightInd w:val="0"/>
        <w:spacing w:after="0" w:line="240" w:lineRule="auto"/>
        <w:jc w:val="center"/>
        <w:rPr>
          <w:rFonts w:ascii="CIDFont+F5" w:hAnsi="CIDFont+F5" w:cs="CIDFont+F5"/>
          <w:b/>
          <w:bCs/>
          <w:kern w:val="0"/>
          <w:sz w:val="22"/>
          <w:szCs w:val="22"/>
        </w:rPr>
      </w:pPr>
      <w:r>
        <w:rPr>
          <w:rFonts w:ascii="CIDFont+F5" w:hAnsi="CIDFont+F5" w:cs="CIDFont+F5"/>
          <w:b/>
          <w:bCs/>
          <w:kern w:val="0"/>
          <w:sz w:val="22"/>
          <w:szCs w:val="22"/>
        </w:rPr>
        <w:lastRenderedPageBreak/>
        <w:t>A</w:t>
      </w:r>
      <w:r w:rsidRPr="00D708FD">
        <w:rPr>
          <w:rFonts w:ascii="CIDFont+F5" w:hAnsi="CIDFont+F5" w:cs="CIDFont+F5"/>
          <w:b/>
          <w:bCs/>
          <w:kern w:val="0"/>
          <w:sz w:val="22"/>
          <w:szCs w:val="22"/>
        </w:rPr>
        <w:t>rt. 1, comma 10 bis</w:t>
      </w:r>
    </w:p>
    <w:p w14:paraId="00203F98" w14:textId="19B1AA98" w:rsidR="00BA7CA3" w:rsidRDefault="00F034BC" w:rsidP="00D708FD">
      <w:pPr>
        <w:autoSpaceDE w:val="0"/>
        <w:autoSpaceDN w:val="0"/>
        <w:adjustRightInd w:val="0"/>
        <w:spacing w:after="0" w:line="240" w:lineRule="auto"/>
        <w:jc w:val="center"/>
        <w:rPr>
          <w:rFonts w:ascii="CIDFont+F5" w:hAnsi="CIDFont+F5" w:cs="CIDFont+F5"/>
          <w:b/>
          <w:bCs/>
          <w:kern w:val="0"/>
          <w:sz w:val="22"/>
          <w:szCs w:val="22"/>
        </w:rPr>
      </w:pPr>
      <w:r>
        <w:rPr>
          <w:rFonts w:ascii="CIDFont+F5" w:hAnsi="CIDFont+F5" w:cs="CIDFont+F5"/>
          <w:b/>
          <w:bCs/>
          <w:kern w:val="0"/>
          <w:sz w:val="22"/>
          <w:szCs w:val="22"/>
        </w:rPr>
        <w:t>(</w:t>
      </w:r>
      <w:r w:rsidR="00BA7CA3" w:rsidRPr="00D708FD">
        <w:rPr>
          <w:rFonts w:ascii="CIDFont+F5" w:hAnsi="CIDFont+F5" w:cs="CIDFont+F5"/>
          <w:b/>
          <w:bCs/>
          <w:kern w:val="0"/>
          <w:sz w:val="22"/>
          <w:szCs w:val="22"/>
        </w:rPr>
        <w:t>Deroga mobilità volontaria preventiva</w:t>
      </w:r>
      <w:r>
        <w:rPr>
          <w:rFonts w:ascii="CIDFont+F5" w:hAnsi="CIDFont+F5" w:cs="CIDFont+F5"/>
          <w:b/>
          <w:bCs/>
          <w:kern w:val="0"/>
          <w:sz w:val="22"/>
          <w:szCs w:val="22"/>
        </w:rPr>
        <w:t>)</w:t>
      </w:r>
    </w:p>
    <w:p w14:paraId="24BD1026" w14:textId="77777777" w:rsidR="00D708FD" w:rsidRPr="00E76549" w:rsidRDefault="00D708FD" w:rsidP="00D708FD">
      <w:pPr>
        <w:autoSpaceDE w:val="0"/>
        <w:autoSpaceDN w:val="0"/>
        <w:adjustRightInd w:val="0"/>
        <w:spacing w:after="0" w:line="240" w:lineRule="auto"/>
        <w:jc w:val="both"/>
        <w:rPr>
          <w:rFonts w:ascii="CIDFont+F5" w:hAnsi="CIDFont+F5" w:cs="CIDFont+F5"/>
          <w:kern w:val="0"/>
          <w:sz w:val="22"/>
          <w:szCs w:val="22"/>
        </w:rPr>
      </w:pPr>
    </w:p>
    <w:p w14:paraId="0CA37330" w14:textId="635DE919" w:rsidR="00D708FD" w:rsidRPr="00D708FD" w:rsidRDefault="00D708FD" w:rsidP="00D708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IDFont+F5" w:hAnsi="CIDFont+F5" w:cs="CIDFont+F5"/>
          <w:i/>
          <w:iCs/>
          <w:kern w:val="0"/>
          <w:sz w:val="22"/>
          <w:szCs w:val="22"/>
        </w:rPr>
      </w:pPr>
      <w:r w:rsidRPr="00D708FD">
        <w:rPr>
          <w:rFonts w:ascii="CIDFont+F5" w:hAnsi="CIDFont+F5" w:cs="CIDFont+F5"/>
          <w:i/>
          <w:iCs/>
          <w:kern w:val="0"/>
          <w:sz w:val="22"/>
          <w:szCs w:val="22"/>
        </w:rPr>
        <w:t>10-bis. All’articolo 3, comma 8, della</w:t>
      </w:r>
      <w:r>
        <w:rPr>
          <w:rFonts w:ascii="CIDFont+F5" w:hAnsi="CIDFont+F5" w:cs="CIDFont+F5"/>
          <w:i/>
          <w:iCs/>
          <w:kern w:val="0"/>
          <w:sz w:val="22"/>
          <w:szCs w:val="22"/>
        </w:rPr>
        <w:t xml:space="preserve"> </w:t>
      </w:r>
      <w:r w:rsidRPr="00D708FD">
        <w:rPr>
          <w:rFonts w:ascii="CIDFont+F5" w:hAnsi="CIDFont+F5" w:cs="CIDFont+F5"/>
          <w:i/>
          <w:iCs/>
          <w:kern w:val="0"/>
          <w:sz w:val="22"/>
          <w:szCs w:val="22"/>
        </w:rPr>
        <w:t xml:space="preserve">legge 19 giugno 2019, n. 56, le parole: </w:t>
      </w:r>
      <w:proofErr w:type="gramStart"/>
      <w:r w:rsidRPr="00D708FD">
        <w:rPr>
          <w:rFonts w:ascii="CIDFont+F5" w:hAnsi="CIDFont+F5" w:cs="CIDFont+F5"/>
          <w:i/>
          <w:iCs/>
          <w:kern w:val="0"/>
          <w:sz w:val="22"/>
          <w:szCs w:val="22"/>
        </w:rPr>
        <w:t>« fino</w:t>
      </w:r>
      <w:proofErr w:type="gramEnd"/>
      <w:r w:rsidRPr="00D708FD">
        <w:rPr>
          <w:rFonts w:ascii="CIDFont+F5" w:hAnsi="CIDFont+F5" w:cs="CIDFont+F5"/>
          <w:i/>
          <w:iCs/>
          <w:kern w:val="0"/>
          <w:sz w:val="22"/>
          <w:szCs w:val="22"/>
        </w:rPr>
        <w:t xml:space="preserve"> al 31 dicembre 2024 » sono sostituite dalle seguenti: « fino al 31 dicembre 2025 ».</w:t>
      </w:r>
    </w:p>
    <w:p w14:paraId="3F2FAB72" w14:textId="77777777" w:rsidR="00D708FD" w:rsidRDefault="00D708FD" w:rsidP="00E76549">
      <w:pPr>
        <w:autoSpaceDE w:val="0"/>
        <w:autoSpaceDN w:val="0"/>
        <w:adjustRightInd w:val="0"/>
        <w:spacing w:after="0" w:line="240" w:lineRule="auto"/>
        <w:jc w:val="both"/>
        <w:rPr>
          <w:rFonts w:ascii="CIDFont+F5" w:hAnsi="CIDFont+F5" w:cs="CIDFont+F5"/>
          <w:kern w:val="0"/>
          <w:sz w:val="22"/>
          <w:szCs w:val="22"/>
        </w:rPr>
      </w:pPr>
    </w:p>
    <w:p w14:paraId="60D1EB69" w14:textId="4CC8674C" w:rsidR="00474739" w:rsidRPr="00E76549" w:rsidRDefault="0015070C" w:rsidP="00E76549">
      <w:pPr>
        <w:autoSpaceDE w:val="0"/>
        <w:autoSpaceDN w:val="0"/>
        <w:adjustRightInd w:val="0"/>
        <w:spacing w:after="0" w:line="240" w:lineRule="auto"/>
        <w:jc w:val="both"/>
        <w:rPr>
          <w:rFonts w:ascii="CIDFont+F5" w:hAnsi="CIDFont+F5" w:cs="CIDFont+F5"/>
          <w:kern w:val="0"/>
          <w:sz w:val="22"/>
          <w:szCs w:val="22"/>
        </w:rPr>
      </w:pPr>
      <w:r w:rsidRPr="00E76549">
        <w:rPr>
          <w:rFonts w:ascii="CIDFont+F5" w:hAnsi="CIDFont+F5" w:cs="CIDFont+F5"/>
          <w:kern w:val="0"/>
          <w:sz w:val="22"/>
          <w:szCs w:val="22"/>
        </w:rPr>
        <w:t>La norma prevede la proroga</w:t>
      </w:r>
      <w:r w:rsidR="00474739" w:rsidRPr="00E76549">
        <w:rPr>
          <w:rFonts w:ascii="CIDFont+F5" w:hAnsi="CIDFont+F5" w:cs="CIDFont+F5"/>
          <w:kern w:val="0"/>
          <w:sz w:val="22"/>
          <w:szCs w:val="22"/>
        </w:rPr>
        <w:t xml:space="preserve"> di un anno la vigenza della norma che consente alle amministrazioni di procedere ad assunzioni senza previo svolgimento delle procedure di mobilità, in caso di procedure concorsuali bandite, permettendo</w:t>
      </w:r>
      <w:r w:rsidRPr="00E76549">
        <w:rPr>
          <w:rFonts w:ascii="CIDFont+F5" w:hAnsi="CIDFont+F5" w:cs="CIDFont+F5"/>
          <w:kern w:val="0"/>
          <w:sz w:val="22"/>
          <w:szCs w:val="22"/>
        </w:rPr>
        <w:t xml:space="preserve"> alle Province </w:t>
      </w:r>
      <w:r w:rsidR="00474739" w:rsidRPr="00E76549">
        <w:rPr>
          <w:rFonts w:ascii="CIDFont+F5" w:hAnsi="CIDFont+F5" w:cs="CIDFont+F5"/>
          <w:kern w:val="0"/>
          <w:sz w:val="22"/>
          <w:szCs w:val="22"/>
        </w:rPr>
        <w:t>di proseguire con maggiore rapidità nella riorganizzazione delle strutture.</w:t>
      </w:r>
    </w:p>
    <w:p w14:paraId="3E4415AC" w14:textId="77777777" w:rsidR="0088088F" w:rsidRPr="00E76549" w:rsidRDefault="0088088F" w:rsidP="00E76549">
      <w:pPr>
        <w:autoSpaceDE w:val="0"/>
        <w:autoSpaceDN w:val="0"/>
        <w:adjustRightInd w:val="0"/>
        <w:spacing w:after="0" w:line="240" w:lineRule="auto"/>
        <w:jc w:val="both"/>
        <w:rPr>
          <w:rFonts w:ascii="CIDFont+F5" w:hAnsi="CIDFont+F5" w:cs="CIDFont+F5"/>
          <w:kern w:val="0"/>
          <w:sz w:val="22"/>
          <w:szCs w:val="22"/>
        </w:rPr>
      </w:pPr>
    </w:p>
    <w:p w14:paraId="55413E9E" w14:textId="77777777" w:rsidR="0088088F" w:rsidRPr="00E76549" w:rsidRDefault="0088088F" w:rsidP="00E76549">
      <w:pPr>
        <w:autoSpaceDE w:val="0"/>
        <w:autoSpaceDN w:val="0"/>
        <w:adjustRightInd w:val="0"/>
        <w:spacing w:after="0" w:line="240" w:lineRule="auto"/>
        <w:jc w:val="both"/>
        <w:rPr>
          <w:rFonts w:ascii="CIDFont+F5" w:hAnsi="CIDFont+F5" w:cs="CIDFont+F5"/>
          <w:kern w:val="0"/>
          <w:sz w:val="22"/>
          <w:szCs w:val="22"/>
        </w:rPr>
      </w:pPr>
      <w:r w:rsidRPr="00E76549">
        <w:rPr>
          <w:rFonts w:ascii="CIDFont+F5" w:hAnsi="CIDFont+F5" w:cs="CIDFont+F5"/>
          <w:kern w:val="0"/>
          <w:sz w:val="22"/>
          <w:szCs w:val="22"/>
        </w:rPr>
        <w:t>Il comma 10-bis dell’articolo 1, introdotto a seguito dell’esame al Senato, opera una modifica al comma 8 dell’articolo 3 della legge n. 56 del 2019.</w:t>
      </w:r>
    </w:p>
    <w:p w14:paraId="430C10E9" w14:textId="77777777" w:rsidR="0088088F" w:rsidRPr="00E76549" w:rsidRDefault="0088088F" w:rsidP="00E76549">
      <w:pPr>
        <w:autoSpaceDE w:val="0"/>
        <w:autoSpaceDN w:val="0"/>
        <w:adjustRightInd w:val="0"/>
        <w:spacing w:after="0" w:line="240" w:lineRule="auto"/>
        <w:jc w:val="both"/>
        <w:rPr>
          <w:rFonts w:ascii="CIDFont+F5" w:hAnsi="CIDFont+F5" w:cs="CIDFont+F5"/>
          <w:kern w:val="0"/>
          <w:sz w:val="22"/>
          <w:szCs w:val="22"/>
        </w:rPr>
      </w:pPr>
      <w:r w:rsidRPr="00E76549">
        <w:rPr>
          <w:rFonts w:ascii="CIDFont+F5" w:hAnsi="CIDFont+F5" w:cs="CIDFont+F5"/>
          <w:kern w:val="0"/>
          <w:sz w:val="22"/>
          <w:szCs w:val="22"/>
        </w:rPr>
        <w:t>Nello specifico, la norma in esame dispone che le procedure concorsuali, derogatorie rispetto all’ordinario obbligo di svolgere procedure di mobilità volontaria di cui all’art. 30 del decreto legislativo n. 165 del 2001, previste dall’articolo che viene inciso, possano essere esperite dalle pubbliche amministrazioni fino al 31 dicembre 2025, in luogo del precedente termine posto al 31 dicembre 2024.</w:t>
      </w:r>
    </w:p>
    <w:p w14:paraId="40F1887F" w14:textId="77777777" w:rsidR="0088088F" w:rsidRPr="00E76549" w:rsidRDefault="0088088F" w:rsidP="00E76549">
      <w:pPr>
        <w:autoSpaceDE w:val="0"/>
        <w:autoSpaceDN w:val="0"/>
        <w:adjustRightInd w:val="0"/>
        <w:spacing w:after="0" w:line="240" w:lineRule="auto"/>
        <w:jc w:val="both"/>
        <w:rPr>
          <w:rFonts w:ascii="CIDFont+F5" w:hAnsi="CIDFont+F5" w:cs="CIDFont+F5"/>
          <w:kern w:val="0"/>
          <w:sz w:val="22"/>
          <w:szCs w:val="22"/>
        </w:rPr>
      </w:pPr>
      <w:r w:rsidRPr="00E76549">
        <w:rPr>
          <w:rFonts w:ascii="CIDFont+F5" w:hAnsi="CIDFont+F5" w:cs="CIDFont+F5"/>
          <w:kern w:val="0"/>
          <w:sz w:val="22"/>
          <w:szCs w:val="22"/>
        </w:rPr>
        <w:t>Si ricorda che il comma 8 dell’articolo 3 della legge n. 56 del 2019 dispone che, al fine di ridurre i tempi di accesso al pubblico impiego, fin al 31 dicembre 2024 (in luogo dell’originale riferimento al triennio 2019-2021, modificato dall’art. 1, comma 14-ter, del decreto-legge n. 80 del 2021) i concorsi pubblici banditi dalle Amministrazioni di cui all’articolo 1, comma 2, del decreto legislativo n. 165 del 2001, nonché le relative assunzioni, possono essere effettuate in deroga all’obbligo di svolgimento delle procedure di mobilità volontaria di cui all’articolo 30 del medesimo decreto. Tuttavia, la norma specifica che resta fermo il disposto di cui all’articolo 1, comma 399, della legge n. 145 del 2018 sui termini dilatori di decorrenza delle assunzioni nel corso del 2019.</w:t>
      </w:r>
    </w:p>
    <w:p w14:paraId="0D0E3F6A" w14:textId="77777777" w:rsidR="0088088F" w:rsidRPr="00E76549" w:rsidRDefault="0088088F" w:rsidP="00E76549">
      <w:pPr>
        <w:autoSpaceDE w:val="0"/>
        <w:autoSpaceDN w:val="0"/>
        <w:adjustRightInd w:val="0"/>
        <w:spacing w:after="0" w:line="240" w:lineRule="auto"/>
        <w:jc w:val="both"/>
        <w:rPr>
          <w:rFonts w:ascii="CIDFont+F5" w:hAnsi="CIDFont+F5" w:cs="CIDFont+F5"/>
          <w:kern w:val="0"/>
          <w:sz w:val="22"/>
          <w:szCs w:val="22"/>
        </w:rPr>
      </w:pPr>
      <w:r w:rsidRPr="00E76549">
        <w:rPr>
          <w:rFonts w:ascii="CIDFont+F5" w:hAnsi="CIDFont+F5" w:cs="CIDFont+F5"/>
          <w:kern w:val="0"/>
          <w:sz w:val="22"/>
          <w:szCs w:val="22"/>
        </w:rPr>
        <w:t>Per completezza, si riporta che quest’ultima norma dispone che determinate amministrazioni non possono effettuare assunzioni di personale a tempo indeterminato con decorrenza giuridica ed economica anteriore al 15 novembre 2019.</w:t>
      </w:r>
    </w:p>
    <w:p w14:paraId="76A37FB9" w14:textId="77777777" w:rsidR="0088088F" w:rsidRPr="00E76549" w:rsidRDefault="0088088F" w:rsidP="00E76549">
      <w:pPr>
        <w:autoSpaceDE w:val="0"/>
        <w:autoSpaceDN w:val="0"/>
        <w:adjustRightInd w:val="0"/>
        <w:spacing w:after="0" w:line="240" w:lineRule="auto"/>
        <w:jc w:val="both"/>
        <w:rPr>
          <w:rFonts w:ascii="CIDFont+F5" w:hAnsi="CIDFont+F5" w:cs="CIDFont+F5"/>
          <w:kern w:val="0"/>
          <w:sz w:val="22"/>
          <w:szCs w:val="22"/>
        </w:rPr>
      </w:pPr>
      <w:r w:rsidRPr="00E76549">
        <w:rPr>
          <w:rFonts w:ascii="CIDFont+F5" w:hAnsi="CIDFont+F5" w:cs="CIDFont+F5"/>
          <w:kern w:val="0"/>
          <w:sz w:val="22"/>
          <w:szCs w:val="22"/>
        </w:rPr>
        <w:t>In tema di mobilità del personale pubblico, si rammenta che la mobilità volontaria (tramite passaggio diretto di personale tra amministrazioni pubbliche) è disciplinata dall'articolo 30 del decreto legislativo n. 165 del 2001, mentre i successivi articoli 33, 34 e 34-bis pongono la disciplina della mobilità collettiva.</w:t>
      </w:r>
    </w:p>
    <w:p w14:paraId="7967E194" w14:textId="77777777" w:rsidR="0088088F" w:rsidRPr="00E76549" w:rsidRDefault="0088088F" w:rsidP="00E76549">
      <w:pPr>
        <w:autoSpaceDE w:val="0"/>
        <w:autoSpaceDN w:val="0"/>
        <w:adjustRightInd w:val="0"/>
        <w:spacing w:after="0" w:line="240" w:lineRule="auto"/>
        <w:jc w:val="both"/>
        <w:rPr>
          <w:rFonts w:ascii="CIDFont+F5" w:hAnsi="CIDFont+F5" w:cs="CIDFont+F5"/>
          <w:kern w:val="0"/>
          <w:sz w:val="22"/>
          <w:szCs w:val="22"/>
        </w:rPr>
      </w:pPr>
      <w:r w:rsidRPr="00E76549">
        <w:rPr>
          <w:rFonts w:ascii="CIDFont+F5" w:hAnsi="CIDFont+F5" w:cs="CIDFont+F5"/>
          <w:kern w:val="0"/>
          <w:sz w:val="22"/>
          <w:szCs w:val="22"/>
        </w:rPr>
        <w:t>In particolare, l’articolo 30 permette di ricoprire posti vacanti in organico mediante passaggio diretto di dipendenti appartenenti a una qualifica corrispondente e in servizio presso altre amministrazioni, dietro domanda di trasferimento e con assenso dell'amministrazione di appartenenza in determinati casi.</w:t>
      </w:r>
    </w:p>
    <w:p w14:paraId="2145D0E5" w14:textId="77777777" w:rsidR="0088088F" w:rsidRPr="00E76549" w:rsidRDefault="0088088F" w:rsidP="00E76549">
      <w:pPr>
        <w:autoSpaceDE w:val="0"/>
        <w:autoSpaceDN w:val="0"/>
        <w:adjustRightInd w:val="0"/>
        <w:spacing w:after="0" w:line="240" w:lineRule="auto"/>
        <w:jc w:val="both"/>
        <w:rPr>
          <w:rFonts w:ascii="CIDFont+F5" w:hAnsi="CIDFont+F5" w:cs="CIDFont+F5"/>
          <w:kern w:val="0"/>
          <w:sz w:val="22"/>
          <w:szCs w:val="22"/>
        </w:rPr>
      </w:pPr>
      <w:r w:rsidRPr="00E76549">
        <w:rPr>
          <w:rFonts w:ascii="CIDFont+F5" w:hAnsi="CIDFont+F5" w:cs="CIDFont+F5"/>
          <w:kern w:val="0"/>
          <w:sz w:val="22"/>
          <w:szCs w:val="22"/>
        </w:rPr>
        <w:t>L’art. 3 del D.L. 80/2021 ha infatti modificato parzialmente la suddetta disciplina limitando i casi in cui tale forma di mobilità sia subordinata all'assenso dell'amministrazione di appartenenza. In particolare, la condizione dell'assenso permane qualora ricorra una delle seguenti fattispecie:</w:t>
      </w:r>
    </w:p>
    <w:p w14:paraId="0E6BAAD9" w14:textId="77777777" w:rsidR="0088088F" w:rsidRPr="00E76549" w:rsidRDefault="0088088F" w:rsidP="00E76549">
      <w:pPr>
        <w:autoSpaceDE w:val="0"/>
        <w:autoSpaceDN w:val="0"/>
        <w:adjustRightInd w:val="0"/>
        <w:spacing w:after="0" w:line="240" w:lineRule="auto"/>
        <w:jc w:val="both"/>
        <w:rPr>
          <w:rFonts w:ascii="CIDFont+F5" w:hAnsi="CIDFont+F5" w:cs="CIDFont+F5"/>
          <w:kern w:val="0"/>
          <w:sz w:val="22"/>
          <w:szCs w:val="22"/>
        </w:rPr>
      </w:pPr>
      <w:r w:rsidRPr="00E76549">
        <w:rPr>
          <w:rFonts w:ascii="CIDFont+F5" w:hAnsi="CIDFont+F5" w:cs="CIDFont+F5"/>
          <w:kern w:val="0"/>
          <w:sz w:val="22"/>
          <w:szCs w:val="22"/>
        </w:rPr>
        <w:t>o</w:t>
      </w:r>
      <w:r w:rsidRPr="00E76549">
        <w:rPr>
          <w:rFonts w:ascii="CIDFont+F5" w:hAnsi="CIDFont+F5" w:cs="CIDFont+F5"/>
          <w:kern w:val="0"/>
          <w:sz w:val="22"/>
          <w:szCs w:val="22"/>
        </w:rPr>
        <w:tab/>
        <w:t>si tratti di posizioni motivatamente infungibili e tale carattere e la motivazione medesima siano stati dichiarati dall'amministrazione di appartenenza;</w:t>
      </w:r>
    </w:p>
    <w:p w14:paraId="53860F83" w14:textId="77777777" w:rsidR="0088088F" w:rsidRPr="00E76549" w:rsidRDefault="0088088F" w:rsidP="00E76549">
      <w:pPr>
        <w:autoSpaceDE w:val="0"/>
        <w:autoSpaceDN w:val="0"/>
        <w:adjustRightInd w:val="0"/>
        <w:spacing w:after="0" w:line="240" w:lineRule="auto"/>
        <w:jc w:val="both"/>
        <w:rPr>
          <w:rFonts w:ascii="CIDFont+F5" w:hAnsi="CIDFont+F5" w:cs="CIDFont+F5"/>
          <w:kern w:val="0"/>
          <w:sz w:val="22"/>
          <w:szCs w:val="22"/>
        </w:rPr>
      </w:pPr>
      <w:r w:rsidRPr="00E76549">
        <w:rPr>
          <w:rFonts w:ascii="CIDFont+F5" w:hAnsi="CIDFont+F5" w:cs="CIDFont+F5"/>
          <w:kern w:val="0"/>
          <w:sz w:val="22"/>
          <w:szCs w:val="22"/>
        </w:rPr>
        <w:t>o</w:t>
      </w:r>
      <w:r w:rsidRPr="00E76549">
        <w:rPr>
          <w:rFonts w:ascii="CIDFont+F5" w:hAnsi="CIDFont+F5" w:cs="CIDFont+F5"/>
          <w:kern w:val="0"/>
          <w:sz w:val="22"/>
          <w:szCs w:val="22"/>
        </w:rPr>
        <w:tab/>
        <w:t>il richiedente la mobilità sia stato assunto da meno di tre anni;</w:t>
      </w:r>
    </w:p>
    <w:p w14:paraId="590DF5C5" w14:textId="77777777" w:rsidR="0088088F" w:rsidRPr="00E76549" w:rsidRDefault="0088088F" w:rsidP="00E76549">
      <w:pPr>
        <w:autoSpaceDE w:val="0"/>
        <w:autoSpaceDN w:val="0"/>
        <w:adjustRightInd w:val="0"/>
        <w:spacing w:after="0" w:line="240" w:lineRule="auto"/>
        <w:jc w:val="both"/>
        <w:rPr>
          <w:rFonts w:ascii="CIDFont+F5" w:hAnsi="CIDFont+F5" w:cs="CIDFont+F5"/>
          <w:kern w:val="0"/>
          <w:sz w:val="22"/>
          <w:szCs w:val="22"/>
        </w:rPr>
      </w:pPr>
      <w:r w:rsidRPr="00E76549">
        <w:rPr>
          <w:rFonts w:ascii="CIDFont+F5" w:hAnsi="CIDFont+F5" w:cs="CIDFont+F5"/>
          <w:kern w:val="0"/>
          <w:sz w:val="22"/>
          <w:szCs w:val="22"/>
        </w:rPr>
        <w:t>o</w:t>
      </w:r>
      <w:r w:rsidRPr="00E76549">
        <w:rPr>
          <w:rFonts w:ascii="CIDFont+F5" w:hAnsi="CIDFont+F5" w:cs="CIDFont+F5"/>
          <w:kern w:val="0"/>
          <w:sz w:val="22"/>
          <w:szCs w:val="22"/>
        </w:rPr>
        <w:tab/>
        <w:t>la mobilità determini, per l'amministrazione di appartenenza, una carenza di organico superiore al 20 per cento nella qualifica corrispondente a quella del richiedente;</w:t>
      </w:r>
    </w:p>
    <w:p w14:paraId="079A76F6" w14:textId="77777777" w:rsidR="0088088F" w:rsidRPr="00E76549" w:rsidRDefault="0088088F" w:rsidP="00E76549">
      <w:pPr>
        <w:autoSpaceDE w:val="0"/>
        <w:autoSpaceDN w:val="0"/>
        <w:adjustRightInd w:val="0"/>
        <w:spacing w:after="0" w:line="240" w:lineRule="auto"/>
        <w:jc w:val="both"/>
        <w:rPr>
          <w:rFonts w:ascii="CIDFont+F5" w:hAnsi="CIDFont+F5" w:cs="CIDFont+F5"/>
          <w:kern w:val="0"/>
          <w:sz w:val="22"/>
          <w:szCs w:val="22"/>
        </w:rPr>
      </w:pPr>
      <w:r w:rsidRPr="00E76549">
        <w:rPr>
          <w:rFonts w:ascii="CIDFont+F5" w:hAnsi="CIDFont+F5" w:cs="CIDFont+F5"/>
          <w:kern w:val="0"/>
          <w:sz w:val="22"/>
          <w:szCs w:val="22"/>
        </w:rPr>
        <w:t>o</w:t>
      </w:r>
      <w:r w:rsidRPr="00E76549">
        <w:rPr>
          <w:rFonts w:ascii="CIDFont+F5" w:hAnsi="CIDFont+F5" w:cs="CIDFont+F5"/>
          <w:kern w:val="0"/>
          <w:sz w:val="22"/>
          <w:szCs w:val="22"/>
        </w:rPr>
        <w:tab/>
        <w:t>il richiedente sia dipendente di determinate amministrazioni</w:t>
      </w:r>
    </w:p>
    <w:p w14:paraId="4BD28087" w14:textId="77777777" w:rsidR="0088088F" w:rsidRPr="00E76549" w:rsidRDefault="0088088F" w:rsidP="00E76549">
      <w:pPr>
        <w:autoSpaceDE w:val="0"/>
        <w:autoSpaceDN w:val="0"/>
        <w:adjustRightInd w:val="0"/>
        <w:spacing w:after="0" w:line="240" w:lineRule="auto"/>
        <w:jc w:val="both"/>
        <w:rPr>
          <w:rFonts w:ascii="CIDFont+F5" w:hAnsi="CIDFont+F5" w:cs="CIDFont+F5"/>
          <w:kern w:val="0"/>
          <w:sz w:val="22"/>
          <w:szCs w:val="22"/>
        </w:rPr>
      </w:pPr>
      <w:r w:rsidRPr="00E76549">
        <w:rPr>
          <w:rFonts w:ascii="CIDFont+F5" w:hAnsi="CIDFont+F5" w:cs="CIDFont+F5"/>
          <w:kern w:val="0"/>
          <w:sz w:val="22"/>
          <w:szCs w:val="22"/>
        </w:rPr>
        <w:t>Inoltre, fino all'introduzione di nuove procedure per la determinazione dei fabbisogni standard di personale delle amministrazioni pubbliche, per il trasferimento tra le sedi centrali di differenti ministeri, agenzie ed enti pubblici non economici nazionali non è richiesto l'assenso dell'amministrazione di appartenenza.</w:t>
      </w:r>
    </w:p>
    <w:p w14:paraId="00B571A7" w14:textId="6599879E" w:rsidR="0088088F" w:rsidRPr="00E76549" w:rsidRDefault="0088088F" w:rsidP="00E76549">
      <w:pPr>
        <w:autoSpaceDE w:val="0"/>
        <w:autoSpaceDN w:val="0"/>
        <w:adjustRightInd w:val="0"/>
        <w:spacing w:after="0" w:line="240" w:lineRule="auto"/>
        <w:jc w:val="both"/>
        <w:rPr>
          <w:rFonts w:ascii="CIDFont+F5" w:hAnsi="CIDFont+F5" w:cs="CIDFont+F5"/>
          <w:kern w:val="0"/>
          <w:sz w:val="22"/>
          <w:szCs w:val="22"/>
        </w:rPr>
      </w:pPr>
      <w:r w:rsidRPr="00E76549">
        <w:rPr>
          <w:rFonts w:ascii="CIDFont+F5" w:hAnsi="CIDFont+F5" w:cs="CIDFont+F5"/>
          <w:kern w:val="0"/>
          <w:sz w:val="22"/>
          <w:szCs w:val="22"/>
        </w:rPr>
        <w:t>Infine, nell'ambito dei rapporti di lavoro, i dipendenti possono essere trasferiti all'interno della stessa amministrazione o, previo accordo tra le amministrazioni interessate, in altra amministrazione, in sedi collocate nel territorio dello stesso comune, ovvero, a distanza non superiore a 50 chilometri dalla sede in cui il dipendente è adibito</w:t>
      </w:r>
    </w:p>
    <w:p w14:paraId="56388D9E" w14:textId="77777777" w:rsidR="00D708FD" w:rsidRDefault="00D708FD" w:rsidP="00E76549">
      <w:pPr>
        <w:jc w:val="both"/>
        <w:rPr>
          <w:rFonts w:ascii="CIDFont+F5" w:hAnsi="CIDFont+F5" w:cs="CIDFont+F5"/>
          <w:kern w:val="0"/>
          <w:sz w:val="22"/>
          <w:szCs w:val="22"/>
        </w:rPr>
      </w:pPr>
    </w:p>
    <w:p w14:paraId="2E735736" w14:textId="77777777" w:rsidR="008B1A1B" w:rsidRDefault="008B1A1B" w:rsidP="00E76549">
      <w:pPr>
        <w:jc w:val="both"/>
        <w:rPr>
          <w:rFonts w:ascii="CIDFont+F5" w:hAnsi="CIDFont+F5" w:cs="CIDFont+F5"/>
          <w:kern w:val="0"/>
          <w:sz w:val="22"/>
          <w:szCs w:val="22"/>
        </w:rPr>
      </w:pPr>
    </w:p>
    <w:p w14:paraId="14BAA828" w14:textId="77777777" w:rsidR="008B1A1B" w:rsidRDefault="008B1A1B" w:rsidP="00F034BC">
      <w:pPr>
        <w:spacing w:after="0"/>
        <w:jc w:val="center"/>
        <w:rPr>
          <w:rFonts w:ascii="CIDFont+F5" w:hAnsi="CIDFont+F5" w:cs="CIDFont+F5"/>
          <w:b/>
          <w:bCs/>
          <w:kern w:val="0"/>
          <w:sz w:val="22"/>
          <w:szCs w:val="22"/>
        </w:rPr>
      </w:pPr>
    </w:p>
    <w:p w14:paraId="140AC510" w14:textId="19E5820B" w:rsidR="00F034BC" w:rsidRDefault="0088088F" w:rsidP="00F034BC">
      <w:pPr>
        <w:spacing w:after="0"/>
        <w:jc w:val="center"/>
        <w:rPr>
          <w:rFonts w:ascii="CIDFont+F5" w:hAnsi="CIDFont+F5" w:cs="CIDFont+F5"/>
          <w:b/>
          <w:bCs/>
          <w:kern w:val="0"/>
          <w:sz w:val="22"/>
          <w:szCs w:val="22"/>
        </w:rPr>
      </w:pPr>
      <w:r w:rsidRPr="00D708FD">
        <w:rPr>
          <w:rFonts w:ascii="CIDFont+F5" w:hAnsi="CIDFont+F5" w:cs="CIDFont+F5"/>
          <w:b/>
          <w:bCs/>
          <w:kern w:val="0"/>
          <w:sz w:val="22"/>
          <w:szCs w:val="22"/>
        </w:rPr>
        <w:t>Articolo 1, comma 10-quater</w:t>
      </w:r>
      <w:r w:rsidR="00D708FD">
        <w:rPr>
          <w:rFonts w:ascii="CIDFont+F5" w:hAnsi="CIDFont+F5" w:cs="CIDFont+F5"/>
          <w:b/>
          <w:bCs/>
          <w:kern w:val="0"/>
          <w:sz w:val="22"/>
          <w:szCs w:val="22"/>
        </w:rPr>
        <w:t xml:space="preserve"> </w:t>
      </w:r>
    </w:p>
    <w:p w14:paraId="40C0F660" w14:textId="45A2DD26" w:rsidR="0088088F" w:rsidRDefault="0088088F" w:rsidP="00F034BC">
      <w:pPr>
        <w:spacing w:after="0"/>
        <w:jc w:val="center"/>
        <w:rPr>
          <w:rFonts w:ascii="CIDFont+F5" w:hAnsi="CIDFont+F5" w:cs="CIDFont+F5"/>
          <w:b/>
          <w:bCs/>
          <w:kern w:val="0"/>
          <w:sz w:val="22"/>
          <w:szCs w:val="22"/>
        </w:rPr>
      </w:pPr>
      <w:r w:rsidRPr="00D708FD">
        <w:rPr>
          <w:rFonts w:ascii="CIDFont+F5" w:hAnsi="CIDFont+F5" w:cs="CIDFont+F5"/>
          <w:b/>
          <w:bCs/>
          <w:kern w:val="0"/>
          <w:sz w:val="22"/>
          <w:szCs w:val="22"/>
        </w:rPr>
        <w:t>(Interventi PNRR)</w:t>
      </w:r>
    </w:p>
    <w:p w14:paraId="4A1E21F8" w14:textId="77777777" w:rsidR="008B1A1B" w:rsidRDefault="008B1A1B" w:rsidP="00F034BC">
      <w:pPr>
        <w:spacing w:after="0"/>
        <w:jc w:val="center"/>
        <w:rPr>
          <w:rFonts w:ascii="CIDFont+F5" w:hAnsi="CIDFont+F5" w:cs="CIDFont+F5"/>
          <w:b/>
          <w:bCs/>
          <w:kern w:val="0"/>
          <w:sz w:val="22"/>
          <w:szCs w:val="22"/>
        </w:rPr>
      </w:pPr>
    </w:p>
    <w:p w14:paraId="7C04C057" w14:textId="513D8658" w:rsidR="00D708FD" w:rsidRPr="00D708FD" w:rsidRDefault="00D708FD" w:rsidP="00D708FD">
      <w:pPr>
        <w:pBdr>
          <w:top w:val="single" w:sz="4" w:space="1" w:color="auto"/>
          <w:left w:val="single" w:sz="4" w:space="4" w:color="auto"/>
          <w:bottom w:val="single" w:sz="4" w:space="1" w:color="auto"/>
          <w:right w:val="single" w:sz="4" w:space="4" w:color="auto"/>
        </w:pBdr>
        <w:jc w:val="both"/>
        <w:rPr>
          <w:rFonts w:ascii="CIDFont+F2" w:hAnsi="CIDFont+F2" w:cs="CIDFont+F2"/>
          <w:i/>
          <w:iCs/>
          <w:kern w:val="0"/>
          <w:sz w:val="22"/>
          <w:szCs w:val="22"/>
        </w:rPr>
      </w:pPr>
      <w:r w:rsidRPr="00D708FD">
        <w:rPr>
          <w:rFonts w:ascii="CIDFont+F2" w:hAnsi="CIDFont+F2" w:cs="CIDFont+F2"/>
          <w:i/>
          <w:iCs/>
          <w:kern w:val="0"/>
          <w:sz w:val="22"/>
          <w:szCs w:val="22"/>
        </w:rPr>
        <w:t xml:space="preserve">10-quater. Al fine di garantire l’efficace, tempestiva e completa attuazione degli interventi pubblici di investimento, assicurando la massima sinergia fra i diversi strumenti di programmazione pubblica e un’efficiente capacità di spesa delle pubbliche amministrazioni, all’articolo 10, comma 7-novies, del decreto-legge 10 settembre 2021, n. 121, convertito, con modificazioni, dalla legge 9 novembre 2021, n. 156, dopo le parole: </w:t>
      </w:r>
      <w:proofErr w:type="gramStart"/>
      <w:r w:rsidRPr="00D708FD">
        <w:rPr>
          <w:rFonts w:ascii="CIDFont+F2" w:hAnsi="CIDFont+F2" w:cs="CIDFont+F2"/>
          <w:i/>
          <w:iCs/>
          <w:kern w:val="0"/>
          <w:sz w:val="22"/>
          <w:szCs w:val="22"/>
        </w:rPr>
        <w:t>« si</w:t>
      </w:r>
      <w:proofErr w:type="gramEnd"/>
      <w:r w:rsidRPr="00D708FD">
        <w:rPr>
          <w:rFonts w:ascii="CIDFont+F2" w:hAnsi="CIDFont+F2" w:cs="CIDFont+F2"/>
          <w:i/>
          <w:iCs/>
          <w:kern w:val="0"/>
          <w:sz w:val="22"/>
          <w:szCs w:val="22"/>
        </w:rPr>
        <w:t xml:space="preserve"> applicano » sono inserite le seguenti: « , fino al 31 dicembre 2029,</w:t>
      </w:r>
    </w:p>
    <w:p w14:paraId="45B8A774" w14:textId="77777777" w:rsidR="0088088F"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L’articolo 1, comma 10-quater, inserito nel corso dell’esame in sede referente presso il Senato, proroga fino al 31 dicembre 2029 la possibilità per le amministrazioni pubbliche di avvalersi direttamente dell’assistenza e del supporto tecnico operativo di CDP S.p.A. e di sue società direttamente o indirettamente controllate, per la realizzazione degli interventi pubblici di investimento previsti nell’ambito di piani o strumenti di programmazione europea (quali Fondi strutturali, React-EU, FSC, Fondo complementare al PNRR), al fine di sostenerne l’efficace e tempestiva attuazione, garantendo la massima sinergia e un’efficiente capacità di spesa delle pubbliche amministrazioni.</w:t>
      </w:r>
    </w:p>
    <w:p w14:paraId="2363D5B4" w14:textId="77777777" w:rsidR="008B1A1B" w:rsidRPr="00E76549" w:rsidRDefault="008B1A1B" w:rsidP="00F034BC">
      <w:pPr>
        <w:spacing w:after="0"/>
        <w:jc w:val="both"/>
        <w:rPr>
          <w:rFonts w:ascii="CIDFont+F5" w:hAnsi="CIDFont+F5" w:cs="CIDFont+F5"/>
          <w:kern w:val="0"/>
          <w:sz w:val="22"/>
          <w:szCs w:val="22"/>
        </w:rPr>
      </w:pPr>
    </w:p>
    <w:p w14:paraId="57FCDA2A" w14:textId="77777777" w:rsidR="0088088F" w:rsidRPr="00E76549" w:rsidRDefault="0088088F" w:rsidP="00E76549">
      <w:pPr>
        <w:jc w:val="both"/>
        <w:rPr>
          <w:rFonts w:ascii="CIDFont+F5" w:hAnsi="CIDFont+F5" w:cs="CIDFont+F5"/>
          <w:kern w:val="0"/>
          <w:sz w:val="22"/>
          <w:szCs w:val="22"/>
        </w:rPr>
      </w:pPr>
    </w:p>
    <w:p w14:paraId="1A4A72F9" w14:textId="77777777" w:rsidR="0088088F" w:rsidRDefault="0088088F" w:rsidP="00D708FD">
      <w:pPr>
        <w:jc w:val="center"/>
        <w:rPr>
          <w:rFonts w:ascii="CIDFont+F5" w:hAnsi="CIDFont+F5" w:cs="CIDFont+F5"/>
          <w:b/>
          <w:bCs/>
          <w:kern w:val="0"/>
          <w:sz w:val="22"/>
          <w:szCs w:val="22"/>
        </w:rPr>
      </w:pPr>
      <w:r w:rsidRPr="00D708FD">
        <w:rPr>
          <w:rFonts w:ascii="CIDFont+F5" w:hAnsi="CIDFont+F5" w:cs="CIDFont+F5"/>
          <w:b/>
          <w:bCs/>
          <w:kern w:val="0"/>
          <w:sz w:val="22"/>
          <w:szCs w:val="22"/>
        </w:rPr>
        <w:t>Articolo 1, comma 10-quinquies</w:t>
      </w:r>
      <w:r w:rsidRPr="00D708FD">
        <w:rPr>
          <w:rFonts w:ascii="CIDFont+F5" w:hAnsi="CIDFont+F5" w:cs="CIDFont+F5"/>
          <w:b/>
          <w:bCs/>
          <w:kern w:val="0"/>
          <w:sz w:val="22"/>
          <w:szCs w:val="22"/>
        </w:rPr>
        <w:br/>
        <w:t>(Organismi indipendenti di valutazione)</w:t>
      </w:r>
    </w:p>
    <w:p w14:paraId="7A7903F9" w14:textId="77777777" w:rsidR="008B1A1B" w:rsidRDefault="008B1A1B" w:rsidP="00D708FD">
      <w:pPr>
        <w:jc w:val="center"/>
        <w:rPr>
          <w:rFonts w:ascii="CIDFont+F5" w:hAnsi="CIDFont+F5" w:cs="CIDFont+F5"/>
          <w:b/>
          <w:bCs/>
          <w:kern w:val="0"/>
          <w:sz w:val="22"/>
          <w:szCs w:val="22"/>
        </w:rPr>
      </w:pPr>
    </w:p>
    <w:p w14:paraId="20C314D4" w14:textId="6EAD2D70" w:rsidR="00D708FD" w:rsidRPr="00D708FD" w:rsidRDefault="00D708FD" w:rsidP="00FB3EC7">
      <w:pPr>
        <w:pBdr>
          <w:top w:val="single" w:sz="4" w:space="1" w:color="auto"/>
          <w:left w:val="single" w:sz="4" w:space="4" w:color="auto"/>
          <w:bottom w:val="single" w:sz="4" w:space="1" w:color="auto"/>
          <w:right w:val="single" w:sz="4" w:space="4" w:color="auto"/>
        </w:pBdr>
        <w:jc w:val="both"/>
        <w:rPr>
          <w:rFonts w:ascii="CIDFont+F5" w:hAnsi="CIDFont+F5" w:cs="CIDFont+F5"/>
          <w:b/>
          <w:bCs/>
          <w:kern w:val="0"/>
          <w:sz w:val="22"/>
          <w:szCs w:val="22"/>
        </w:rPr>
      </w:pPr>
      <w:r w:rsidRPr="00D708FD">
        <w:rPr>
          <w:rFonts w:ascii="CIDFont+F2" w:hAnsi="CIDFont+F2" w:cs="CIDFont+F2"/>
          <w:i/>
          <w:iCs/>
          <w:kern w:val="0"/>
          <w:sz w:val="22"/>
          <w:szCs w:val="22"/>
        </w:rPr>
        <w:t xml:space="preserve">10-quinquies. Nelle more dell’attuazione della riforma organica del settore, il termine di durata dell’incarico di cui all’articolo 14-bis, comma 3, del decreto legislativo 27 ottobre 2009, n. 150, o del relativo rinnovo, per i rapporti in corso alla data di entrata in vigore della legge di conversione del presente decreto, può </w:t>
      </w:r>
      <w:r>
        <w:rPr>
          <w:rFonts w:ascii="CIDFont+F2" w:hAnsi="CIDFont+F2" w:cs="CIDFont+F2"/>
          <w:i/>
          <w:iCs/>
          <w:kern w:val="0"/>
          <w:sz w:val="22"/>
          <w:szCs w:val="22"/>
        </w:rPr>
        <w:t>es</w:t>
      </w:r>
      <w:r w:rsidRPr="00D708FD">
        <w:rPr>
          <w:rFonts w:ascii="CIDFont+F2" w:hAnsi="CIDFont+F2" w:cs="CIDFont+F2"/>
          <w:i/>
          <w:iCs/>
          <w:kern w:val="0"/>
          <w:sz w:val="22"/>
          <w:szCs w:val="22"/>
        </w:rPr>
        <w:t>sere prorogato per un periodo non superiore alla durata massima dell’incarico di cui al medesimo articolo 14-bis, comma 3, del decreto legislativo n.</w:t>
      </w:r>
      <w:r>
        <w:t xml:space="preserve"> </w:t>
      </w:r>
      <w:r w:rsidRPr="00FB3EC7">
        <w:rPr>
          <w:rFonts w:ascii="CIDFont+F2" w:hAnsi="CIDFont+F2" w:cs="CIDFont+F2"/>
          <w:i/>
          <w:iCs/>
          <w:kern w:val="0"/>
          <w:sz w:val="22"/>
          <w:szCs w:val="22"/>
        </w:rPr>
        <w:t>150 del 2009. La durata dell’incarico conferito o rinnovato per effetto del precedente periodo non può in ogni caso superare il 31 dicembre 2027</w:t>
      </w:r>
    </w:p>
    <w:p w14:paraId="35297BA5"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Il comma 10-quinquies, introdotto nel corso dell’esame al Senato, stabilisce la possibilità, per i rapporti in corso alla data di entrata in vigore della disposizione in commento, di prorogare la durata degli incarichi dei componenti degli organismi indipendenti di valutazione della performance delle pubbliche amministrazioni. La proroga non può essere per un periodo superiore alla durata massima dell’incarico. La durata dell’incarico, conferito o rinnovato per effetto della proroga disposta dalla disposizione in commento, non può in ogni caso, superare il 31 dicembre 2027.</w:t>
      </w:r>
    </w:p>
    <w:p w14:paraId="137943D5"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La disposizione specifica che si tratta di una proroga “nelle more di una riforma organica del settore”.</w:t>
      </w:r>
    </w:p>
    <w:p w14:paraId="2E2C0285" w14:textId="77777777" w:rsidR="0088088F" w:rsidRDefault="0088088F" w:rsidP="00E76549">
      <w:pPr>
        <w:jc w:val="both"/>
        <w:rPr>
          <w:rFonts w:ascii="CIDFont+F5" w:hAnsi="CIDFont+F5" w:cs="CIDFont+F5"/>
          <w:kern w:val="0"/>
          <w:sz w:val="22"/>
          <w:szCs w:val="22"/>
        </w:rPr>
      </w:pPr>
    </w:p>
    <w:p w14:paraId="47049553" w14:textId="77777777" w:rsidR="008B1A1B" w:rsidRDefault="008B1A1B" w:rsidP="00E76549">
      <w:pPr>
        <w:jc w:val="both"/>
        <w:rPr>
          <w:rFonts w:ascii="CIDFont+F5" w:hAnsi="CIDFont+F5" w:cs="CIDFont+F5"/>
          <w:kern w:val="0"/>
          <w:sz w:val="22"/>
          <w:szCs w:val="22"/>
        </w:rPr>
      </w:pPr>
    </w:p>
    <w:p w14:paraId="0619E9B2" w14:textId="77777777" w:rsidR="008B1A1B" w:rsidRDefault="008B1A1B" w:rsidP="00E76549">
      <w:pPr>
        <w:jc w:val="both"/>
        <w:rPr>
          <w:rFonts w:ascii="CIDFont+F5" w:hAnsi="CIDFont+F5" w:cs="CIDFont+F5"/>
          <w:kern w:val="0"/>
          <w:sz w:val="22"/>
          <w:szCs w:val="22"/>
        </w:rPr>
      </w:pPr>
    </w:p>
    <w:p w14:paraId="14085BBA" w14:textId="77777777" w:rsidR="008B1A1B" w:rsidRDefault="008B1A1B" w:rsidP="00E76549">
      <w:pPr>
        <w:jc w:val="both"/>
        <w:rPr>
          <w:rFonts w:ascii="CIDFont+F5" w:hAnsi="CIDFont+F5" w:cs="CIDFont+F5"/>
          <w:kern w:val="0"/>
          <w:sz w:val="22"/>
          <w:szCs w:val="22"/>
        </w:rPr>
      </w:pPr>
    </w:p>
    <w:p w14:paraId="49599829" w14:textId="77777777" w:rsidR="008B1A1B" w:rsidRDefault="008B1A1B" w:rsidP="00E76549">
      <w:pPr>
        <w:jc w:val="both"/>
        <w:rPr>
          <w:rFonts w:ascii="CIDFont+F5" w:hAnsi="CIDFont+F5" w:cs="CIDFont+F5"/>
          <w:kern w:val="0"/>
          <w:sz w:val="22"/>
          <w:szCs w:val="22"/>
        </w:rPr>
      </w:pPr>
    </w:p>
    <w:p w14:paraId="69696E5F" w14:textId="74853EAA" w:rsidR="0088088F" w:rsidRDefault="00FB3EC7" w:rsidP="00FB3EC7">
      <w:pPr>
        <w:jc w:val="center"/>
        <w:rPr>
          <w:rFonts w:ascii="CIDFont+F5" w:hAnsi="CIDFont+F5" w:cs="CIDFont+F5"/>
          <w:b/>
          <w:bCs/>
          <w:kern w:val="0"/>
          <w:sz w:val="22"/>
          <w:szCs w:val="22"/>
        </w:rPr>
      </w:pPr>
      <w:r w:rsidRPr="00FB3EC7">
        <w:rPr>
          <w:rFonts w:ascii="CIDFont+F5" w:hAnsi="CIDFont+F5" w:cs="CIDFont+F5"/>
          <w:b/>
          <w:bCs/>
          <w:kern w:val="0"/>
          <w:sz w:val="22"/>
          <w:szCs w:val="22"/>
        </w:rPr>
        <w:lastRenderedPageBreak/>
        <w:t>A</w:t>
      </w:r>
      <w:r w:rsidR="0088088F" w:rsidRPr="00FB3EC7">
        <w:rPr>
          <w:rFonts w:ascii="CIDFont+F5" w:hAnsi="CIDFont+F5" w:cs="CIDFont+F5"/>
          <w:b/>
          <w:bCs/>
          <w:kern w:val="0"/>
          <w:sz w:val="22"/>
          <w:szCs w:val="22"/>
        </w:rPr>
        <w:t>rticolo 1, comma 10-octies</w:t>
      </w:r>
      <w:r w:rsidR="0088088F" w:rsidRPr="00FB3EC7">
        <w:rPr>
          <w:rFonts w:ascii="CIDFont+F5" w:hAnsi="CIDFont+F5" w:cs="CIDFont+F5"/>
          <w:b/>
          <w:bCs/>
          <w:kern w:val="0"/>
          <w:sz w:val="22"/>
          <w:szCs w:val="22"/>
        </w:rPr>
        <w:br/>
        <w:t>(Inconferibilità di incarichi di livello regionale</w:t>
      </w:r>
      <w:r>
        <w:rPr>
          <w:rFonts w:ascii="CIDFont+F5" w:hAnsi="CIDFont+F5" w:cs="CIDFont+F5"/>
          <w:b/>
          <w:bCs/>
          <w:kern w:val="0"/>
          <w:sz w:val="22"/>
          <w:szCs w:val="22"/>
        </w:rPr>
        <w:t xml:space="preserve"> </w:t>
      </w:r>
      <w:r w:rsidR="0088088F" w:rsidRPr="00FB3EC7">
        <w:rPr>
          <w:rFonts w:ascii="CIDFont+F5" w:hAnsi="CIDFont+F5" w:cs="CIDFont+F5"/>
          <w:b/>
          <w:bCs/>
          <w:kern w:val="0"/>
          <w:sz w:val="22"/>
          <w:szCs w:val="22"/>
        </w:rPr>
        <w:t>a componenti di consigli comunali)</w:t>
      </w:r>
    </w:p>
    <w:p w14:paraId="48355831" w14:textId="0F6D8FD7" w:rsidR="00FB3EC7" w:rsidRPr="00FB3EC7" w:rsidRDefault="00FB3EC7" w:rsidP="00FB3EC7">
      <w:pPr>
        <w:pBdr>
          <w:top w:val="single" w:sz="4" w:space="1" w:color="auto"/>
          <w:left w:val="single" w:sz="4" w:space="4" w:color="auto"/>
          <w:bottom w:val="single" w:sz="4" w:space="1" w:color="auto"/>
          <w:right w:val="single" w:sz="4" w:space="4" w:color="auto"/>
        </w:pBdr>
        <w:jc w:val="both"/>
        <w:rPr>
          <w:rFonts w:ascii="CIDFont+F2" w:hAnsi="CIDFont+F2" w:cs="CIDFont+F2"/>
          <w:i/>
          <w:iCs/>
          <w:kern w:val="0"/>
          <w:sz w:val="22"/>
          <w:szCs w:val="22"/>
        </w:rPr>
      </w:pPr>
      <w:r w:rsidRPr="00FB3EC7">
        <w:rPr>
          <w:rFonts w:ascii="CIDFont+F2" w:hAnsi="CIDFont+F2" w:cs="CIDFont+F2"/>
          <w:i/>
          <w:iCs/>
          <w:kern w:val="0"/>
          <w:sz w:val="22"/>
          <w:szCs w:val="22"/>
        </w:rPr>
        <w:t xml:space="preserve">10-octies. All’articolo 13-ter, comma 1, del decreto-legge 27 gennaio 2022, n. 4, convertito, con modificazioni, dalla legge 28 marzo 2022, n. 25, le parole: </w:t>
      </w:r>
      <w:proofErr w:type="gramStart"/>
      <w:r w:rsidRPr="00FB3EC7">
        <w:rPr>
          <w:rFonts w:ascii="CIDFont+F2" w:hAnsi="CIDFont+F2" w:cs="CIDFont+F2"/>
          <w:i/>
          <w:iCs/>
          <w:kern w:val="0"/>
          <w:sz w:val="22"/>
          <w:szCs w:val="22"/>
        </w:rPr>
        <w:t>« Fino</w:t>
      </w:r>
      <w:proofErr w:type="gramEnd"/>
      <w:r w:rsidRPr="00FB3EC7">
        <w:rPr>
          <w:rFonts w:ascii="CIDFont+F2" w:hAnsi="CIDFont+F2" w:cs="CIDFont+F2"/>
          <w:i/>
          <w:iCs/>
          <w:kern w:val="0"/>
          <w:sz w:val="22"/>
          <w:szCs w:val="22"/>
        </w:rPr>
        <w:t xml:space="preserve"> al 31 dicembre 2024 » sono sostituite dalle seguenti: « Fino al 31 dicembre 2025 ».</w:t>
      </w:r>
    </w:p>
    <w:p w14:paraId="0CBC2C59"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Il comma in esame, introdotto nel corso dell’esame in sede referente, stabilisce che fino al 31 dicembre 2025 non trovi applicazione l’inconferibilità di incarichi amministrativi di vertice o dirigenziali di livello regionale (di cui all'art. 7, comma 1, del D.Lgs. 39/2013) ai componenti dei consigli dei comuni con popolazione superiore a 15.000 abitanti nonché ai componenti dei consigli di una forma associativa tra comuni che superi i 15.000 abitanti. L’inconferibilità che non trova applicazione riguarda l’assunzione nella medesima regione, nell’anno successivo alla cessazione del mandato comunale, degli incarichi amministrativi di vertice della regione; degli incarichi dirigenziali nell'amministrazione regionale; degli incarichi di amministratore di ente pubblico di livello regionale; degli incarichi di amministratore di ente di diritto privato in controllo pubblico di livello regionale.</w:t>
      </w:r>
    </w:p>
    <w:p w14:paraId="257664B8" w14:textId="77777777" w:rsidR="00CF6AB0" w:rsidRDefault="00CF6AB0" w:rsidP="00CF6AB0">
      <w:pPr>
        <w:spacing w:after="0"/>
        <w:jc w:val="center"/>
        <w:rPr>
          <w:rFonts w:ascii="CIDFont+F5" w:hAnsi="CIDFont+F5" w:cs="CIDFont+F5"/>
          <w:b/>
          <w:bCs/>
          <w:kern w:val="0"/>
          <w:sz w:val="22"/>
          <w:szCs w:val="22"/>
        </w:rPr>
      </w:pPr>
    </w:p>
    <w:p w14:paraId="65F78FF0" w14:textId="2098EADA" w:rsidR="0088088F" w:rsidRDefault="0088088F" w:rsidP="00CF6AB0">
      <w:pPr>
        <w:spacing w:after="0"/>
        <w:jc w:val="center"/>
        <w:rPr>
          <w:rFonts w:ascii="CIDFont+F5" w:hAnsi="CIDFont+F5" w:cs="CIDFont+F5"/>
          <w:b/>
          <w:bCs/>
          <w:kern w:val="0"/>
          <w:sz w:val="22"/>
          <w:szCs w:val="22"/>
        </w:rPr>
      </w:pPr>
      <w:r w:rsidRPr="00FB3EC7">
        <w:rPr>
          <w:rFonts w:ascii="CIDFont+F5" w:hAnsi="CIDFont+F5" w:cs="CIDFont+F5"/>
          <w:b/>
          <w:bCs/>
          <w:kern w:val="0"/>
          <w:sz w:val="22"/>
          <w:szCs w:val="22"/>
        </w:rPr>
        <w:t>Articolo 1, comma 10-novies</w:t>
      </w:r>
      <w:r w:rsidRPr="00FB3EC7">
        <w:rPr>
          <w:rFonts w:ascii="CIDFont+F5" w:hAnsi="CIDFont+F5" w:cs="CIDFont+F5"/>
          <w:b/>
          <w:bCs/>
          <w:kern w:val="0"/>
          <w:sz w:val="22"/>
          <w:szCs w:val="22"/>
        </w:rPr>
        <w:br/>
        <w:t>(Utilizzo delle quote di avanzo di amministrazione svincolate da parte di regioni ed enti locali)</w:t>
      </w:r>
    </w:p>
    <w:p w14:paraId="2714645A" w14:textId="604E8B27" w:rsidR="00FB3EC7" w:rsidRPr="00FB3EC7" w:rsidRDefault="00FB3EC7" w:rsidP="00FB3EC7">
      <w:pPr>
        <w:pBdr>
          <w:top w:val="single" w:sz="4" w:space="1" w:color="auto"/>
          <w:left w:val="single" w:sz="4" w:space="4" w:color="auto"/>
          <w:bottom w:val="single" w:sz="4" w:space="1" w:color="auto"/>
          <w:right w:val="single" w:sz="4" w:space="4" w:color="auto"/>
        </w:pBdr>
        <w:jc w:val="both"/>
        <w:rPr>
          <w:rFonts w:ascii="CIDFont+F2" w:hAnsi="CIDFont+F2" w:cs="CIDFont+F2"/>
          <w:i/>
          <w:iCs/>
          <w:kern w:val="0"/>
          <w:sz w:val="22"/>
          <w:szCs w:val="22"/>
        </w:rPr>
      </w:pPr>
      <w:r w:rsidRPr="00FB3EC7">
        <w:rPr>
          <w:rFonts w:ascii="CIDFont+F2" w:hAnsi="CIDFont+F2" w:cs="CIDFont+F2"/>
          <w:i/>
          <w:iCs/>
          <w:kern w:val="0"/>
          <w:sz w:val="22"/>
          <w:szCs w:val="22"/>
        </w:rPr>
        <w:t xml:space="preserve">10-novies. All’articolo 1 della legge 29 dicembre 2022, n. 197, il comma 822-bis è sostituito dal seguente: </w:t>
      </w:r>
      <w:proofErr w:type="gramStart"/>
      <w:r w:rsidRPr="00FB3EC7">
        <w:rPr>
          <w:rFonts w:ascii="CIDFont+F2" w:hAnsi="CIDFont+F2" w:cs="CIDFont+F2"/>
          <w:i/>
          <w:iCs/>
          <w:kern w:val="0"/>
          <w:sz w:val="22"/>
          <w:szCs w:val="22"/>
        </w:rPr>
        <w:t>« 822</w:t>
      </w:r>
      <w:proofErr w:type="gramEnd"/>
      <w:r w:rsidRPr="00FB3EC7">
        <w:rPr>
          <w:rFonts w:ascii="CIDFont+F2" w:hAnsi="CIDFont+F2" w:cs="CIDFont+F2"/>
          <w:i/>
          <w:iCs/>
          <w:kern w:val="0"/>
          <w:sz w:val="22"/>
          <w:szCs w:val="22"/>
        </w:rPr>
        <w:t>-bis. In sede di approvazione del rendiconto 2023 e del rendiconto 2024 lo svincolo delle quote di avanzo vincolato di amministrazione di cui al comma 822 è consentito, limitatamente alle risorse di parte corrente, oltre che per la copertura del disavanzo della gestione 2023 e 2024 delle aziende del servizio sanitario regionale, anche per il sostegno degli operatori del settore turistico-ricettivo, termale e della ristorazione, che esercitano la propria attività nei comuni, classificati come montani, della dorsale appenninica in conseguenza delle perdite subite di almeno il 30 per cento nel periodo dal 1° novembre 2022 al 15 gennaio 2023 ».</w:t>
      </w:r>
    </w:p>
    <w:p w14:paraId="6559D4BC"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Il comma 10-novies, introdotto nel corso dell’esame in sede referente al Senato, autorizza le regioni e gli enti locali, nonché gli enti ad essi strumentali, ad utilizzare, in sede di approvazione del rendiconto 2024, le quote di avanzo vincolato di amministrazione, limitatamente alle risorse di parte corrente, oltre che per la copertura del disavanzo della gestione 2024 delle Aziende del servizio sanitario regionale anche per il sostegno degli operatori del settore turistico-ricettivo, termale e della ristorazione, che esercitano la propria attività nei comuni, classificati come montani, della dorsale appenninica in conseguenza delle perdite subite nel periodo dal 1° novembre 2022 al 15 gennaio 2023.</w:t>
      </w:r>
    </w:p>
    <w:p w14:paraId="42431560"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Il comma 10-novies sostituisce il comma 822-bis dell’art.1 della legge n. 197 del 2022, il quale, nella vigente formulazione - inserita dall’art. 3, comma 12-quinquies, del D.L. n. 215 del 2023 (decreto-legge “proroga termini 2023”) - autorizza le regioni e gli enti locali, nonché gli enti ad essi strumentali (di cui all’art. 2 del D.Lgs. n. 118 del 2011), in sede di approvazione del rendiconto 2023, allo svincolo delle quote di avanzo vincolato di amministrazione limitatamente alle risorse di parte corrente, da destinare alla copertura del disavanzo della gestione 2023 delle aziende del servizio sanitario regionale.</w:t>
      </w:r>
    </w:p>
    <w:p w14:paraId="64202890" w14:textId="4D100377" w:rsidR="0088088F" w:rsidRDefault="0088088F" w:rsidP="008B1A1B">
      <w:pPr>
        <w:spacing w:after="0"/>
        <w:jc w:val="both"/>
        <w:rPr>
          <w:rFonts w:ascii="CIDFont+F5" w:hAnsi="CIDFont+F5" w:cs="CIDFont+F5"/>
          <w:kern w:val="0"/>
          <w:sz w:val="22"/>
          <w:szCs w:val="22"/>
        </w:rPr>
      </w:pPr>
      <w:r w:rsidRPr="00E76549">
        <w:rPr>
          <w:rFonts w:ascii="CIDFont+F5" w:hAnsi="CIDFont+F5" w:cs="CIDFont+F5"/>
          <w:kern w:val="0"/>
          <w:sz w:val="22"/>
          <w:szCs w:val="22"/>
        </w:rPr>
        <w:t>Con la disposizione in esame tale facoltà viene estesa anche in sede di approvazione del rendiconto 2024 e finalizzata non solo per la copertura del disavanzo delle aziende del servizio sanitario regionale della gestione del 2023 nonché del 2024, ma anche per il sostegno degli operatori del settore turistico-ricettivo, termale e della ristorazione, che esercitano la propria attività nei comuni, classificati come montani, della dorsale appenninica in conseguenza delle perdite subite di almeno il 30% nel periodo dal 1° novembre 2022 al 15 gennaio 2023.</w:t>
      </w:r>
    </w:p>
    <w:p w14:paraId="15C468FC" w14:textId="77777777" w:rsidR="008B1A1B" w:rsidRDefault="008B1A1B" w:rsidP="008B1A1B">
      <w:pPr>
        <w:spacing w:after="0"/>
        <w:jc w:val="both"/>
        <w:rPr>
          <w:rFonts w:ascii="CIDFont+F5" w:hAnsi="CIDFont+F5" w:cs="CIDFont+F5"/>
          <w:kern w:val="0"/>
          <w:sz w:val="22"/>
          <w:szCs w:val="22"/>
        </w:rPr>
      </w:pPr>
    </w:p>
    <w:p w14:paraId="2D74738A" w14:textId="77777777" w:rsidR="008B1A1B" w:rsidRPr="00E76549" w:rsidRDefault="008B1A1B" w:rsidP="008B1A1B">
      <w:pPr>
        <w:spacing w:after="0"/>
        <w:jc w:val="both"/>
        <w:rPr>
          <w:rFonts w:ascii="CIDFont+F5" w:hAnsi="CIDFont+F5" w:cs="CIDFont+F5"/>
          <w:kern w:val="0"/>
          <w:sz w:val="22"/>
          <w:szCs w:val="22"/>
        </w:rPr>
      </w:pPr>
    </w:p>
    <w:p w14:paraId="0C4135C0" w14:textId="3CB7B6B4" w:rsidR="00F034BC" w:rsidRDefault="00F034BC" w:rsidP="00F034BC">
      <w:pPr>
        <w:spacing w:after="0"/>
        <w:jc w:val="center"/>
        <w:rPr>
          <w:rFonts w:ascii="CIDFont+F5" w:hAnsi="CIDFont+F5" w:cs="CIDFont+F5"/>
          <w:b/>
          <w:bCs/>
          <w:kern w:val="0"/>
          <w:sz w:val="22"/>
          <w:szCs w:val="22"/>
        </w:rPr>
      </w:pPr>
      <w:r w:rsidRPr="00FB3EC7">
        <w:rPr>
          <w:rFonts w:ascii="CIDFont+F5" w:hAnsi="CIDFont+F5" w:cs="CIDFont+F5"/>
          <w:b/>
          <w:bCs/>
          <w:kern w:val="0"/>
          <w:sz w:val="22"/>
          <w:szCs w:val="22"/>
        </w:rPr>
        <w:t>Art. 1 comma 10-decies</w:t>
      </w:r>
    </w:p>
    <w:p w14:paraId="0F871CD3" w14:textId="2A0C755B" w:rsidR="0088088F" w:rsidRDefault="00F034BC" w:rsidP="00F034BC">
      <w:pPr>
        <w:spacing w:after="0"/>
        <w:jc w:val="center"/>
        <w:rPr>
          <w:rFonts w:ascii="CIDFont+F5" w:hAnsi="CIDFont+F5" w:cs="CIDFont+F5"/>
          <w:b/>
          <w:bCs/>
          <w:kern w:val="0"/>
          <w:sz w:val="22"/>
          <w:szCs w:val="22"/>
        </w:rPr>
      </w:pPr>
      <w:r>
        <w:rPr>
          <w:rFonts w:ascii="CIDFont+F5" w:hAnsi="CIDFont+F5" w:cs="CIDFont+F5"/>
          <w:b/>
          <w:bCs/>
          <w:kern w:val="0"/>
          <w:sz w:val="22"/>
          <w:szCs w:val="22"/>
        </w:rPr>
        <w:t>(</w:t>
      </w:r>
      <w:r w:rsidR="00FB3EC7">
        <w:rPr>
          <w:rFonts w:ascii="CIDFont+F5" w:hAnsi="CIDFont+F5" w:cs="CIDFont+F5"/>
          <w:b/>
          <w:bCs/>
          <w:kern w:val="0"/>
          <w:sz w:val="22"/>
          <w:szCs w:val="22"/>
        </w:rPr>
        <w:t>S</w:t>
      </w:r>
      <w:r w:rsidR="0088088F" w:rsidRPr="00FB3EC7">
        <w:rPr>
          <w:rFonts w:ascii="CIDFont+F5" w:hAnsi="CIDFont+F5" w:cs="CIDFont+F5"/>
          <w:b/>
          <w:bCs/>
          <w:kern w:val="0"/>
          <w:sz w:val="22"/>
          <w:szCs w:val="22"/>
        </w:rPr>
        <w:t>tabilizzazioni presso alcuni enti territoriali</w:t>
      </w:r>
      <w:r>
        <w:rPr>
          <w:rFonts w:ascii="CIDFont+F5" w:hAnsi="CIDFont+F5" w:cs="CIDFont+F5"/>
          <w:b/>
          <w:bCs/>
          <w:kern w:val="0"/>
          <w:sz w:val="22"/>
          <w:szCs w:val="22"/>
        </w:rPr>
        <w:t>)</w:t>
      </w:r>
    </w:p>
    <w:p w14:paraId="62E8645B" w14:textId="77777777" w:rsidR="008B1A1B" w:rsidRPr="00FB3EC7" w:rsidRDefault="008B1A1B" w:rsidP="00F034BC">
      <w:pPr>
        <w:spacing w:after="0"/>
        <w:jc w:val="center"/>
        <w:rPr>
          <w:rFonts w:ascii="CIDFont+F5" w:hAnsi="CIDFont+F5" w:cs="CIDFont+F5"/>
          <w:b/>
          <w:bCs/>
          <w:kern w:val="0"/>
          <w:sz w:val="22"/>
          <w:szCs w:val="22"/>
        </w:rPr>
      </w:pPr>
    </w:p>
    <w:p w14:paraId="7BE94C5D" w14:textId="7BECF27B" w:rsidR="0088088F" w:rsidRPr="00FB3EC7" w:rsidRDefault="00FB3EC7" w:rsidP="00FB3EC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IDFont+F2" w:hAnsi="CIDFont+F2" w:cs="CIDFont+F2"/>
          <w:i/>
          <w:iCs/>
          <w:kern w:val="0"/>
          <w:sz w:val="22"/>
          <w:szCs w:val="22"/>
        </w:rPr>
      </w:pPr>
      <w:r w:rsidRPr="00FB3EC7">
        <w:rPr>
          <w:rFonts w:ascii="CIDFont+F2" w:hAnsi="CIDFont+F2" w:cs="CIDFont+F2"/>
          <w:i/>
          <w:iCs/>
          <w:kern w:val="0"/>
          <w:sz w:val="22"/>
          <w:szCs w:val="22"/>
        </w:rPr>
        <w:t xml:space="preserve">10-decies. Le assunzioni di cui all’articolo 3, commi 5 e 5-ter, del decreto-legge 22 aprile 2023, n. 44, convertito, con modificazioni, dalla legge 21 giugno 2023, n. 74, possono essere effettuate, fino al 31 dicembre 2026, senza il previo svolgimento delle procedure previste dall’articolo 30 del decreto legislativo 30 marzo 2001, n. 165 </w:t>
      </w:r>
    </w:p>
    <w:p w14:paraId="71A62045" w14:textId="77777777" w:rsidR="00FB3EC7" w:rsidRPr="00E76549" w:rsidRDefault="00FB3EC7" w:rsidP="00E76549">
      <w:pPr>
        <w:autoSpaceDE w:val="0"/>
        <w:autoSpaceDN w:val="0"/>
        <w:adjustRightInd w:val="0"/>
        <w:spacing w:after="0" w:line="240" w:lineRule="auto"/>
        <w:jc w:val="both"/>
        <w:rPr>
          <w:rFonts w:ascii="CIDFont+F5" w:hAnsi="CIDFont+F5" w:cs="CIDFont+F5"/>
          <w:kern w:val="0"/>
          <w:sz w:val="22"/>
          <w:szCs w:val="22"/>
        </w:rPr>
      </w:pPr>
    </w:p>
    <w:p w14:paraId="20054881"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Il comma 10-decies consente analoga deroga, fino al 31 dicembre 2026, in riferimento ad alcune assunzioni da parte di enti territoriali finalizzate alla stabilizzazione di personale a tempo determinato in possesso di determinati requisiti.</w:t>
      </w:r>
    </w:p>
    <w:p w14:paraId="10BFD6E2"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Analogamente, anche il comma 10-decies, parimenti introdotto durante l’iter al Senato, opera una limitazione all’applicabilità dell’articolo 30 del decreto legislativo n. 165 del 2001. In particolare, la norma dispone che le assunzioni di cui all’</w:t>
      </w:r>
      <w:hyperlink r:id="rId12" w:history="1">
        <w:r w:rsidRPr="00E76549">
          <w:rPr>
            <w:rFonts w:ascii="CIDFont+F5" w:hAnsi="CIDFont+F5" w:cs="CIDFont+F5"/>
            <w:kern w:val="0"/>
            <w:sz w:val="22"/>
            <w:szCs w:val="22"/>
          </w:rPr>
          <w:t>articolo 3, commi 5 e 5-ter del decreto-legge n. 44 del 2023</w:t>
        </w:r>
      </w:hyperlink>
      <w:r w:rsidRPr="00E76549">
        <w:rPr>
          <w:rFonts w:ascii="CIDFont+F5" w:hAnsi="CIDFont+F5" w:cs="CIDFont+F5"/>
          <w:kern w:val="0"/>
          <w:sz w:val="22"/>
          <w:szCs w:val="22"/>
        </w:rPr>
        <w:t> possono essere effettuate fino al 31 dicembre 2026, senza previamente esperire le procedure di mobilità volontaria di cui all’articolo 30 richiamato.</w:t>
      </w:r>
    </w:p>
    <w:p w14:paraId="2F70F3BC" w14:textId="77777777" w:rsidR="008B1A1B" w:rsidRDefault="008B1A1B" w:rsidP="00FB3EC7">
      <w:pPr>
        <w:jc w:val="center"/>
        <w:rPr>
          <w:rFonts w:ascii="CIDFont+F5" w:hAnsi="CIDFont+F5" w:cs="CIDFont+F5"/>
          <w:b/>
          <w:bCs/>
          <w:kern w:val="0"/>
          <w:sz w:val="22"/>
          <w:szCs w:val="22"/>
        </w:rPr>
      </w:pPr>
    </w:p>
    <w:p w14:paraId="00A8213E" w14:textId="77777777" w:rsidR="008B1A1B" w:rsidRDefault="008B1A1B" w:rsidP="00FB3EC7">
      <w:pPr>
        <w:jc w:val="center"/>
        <w:rPr>
          <w:rFonts w:ascii="CIDFont+F5" w:hAnsi="CIDFont+F5" w:cs="CIDFont+F5"/>
          <w:b/>
          <w:bCs/>
          <w:kern w:val="0"/>
          <w:sz w:val="22"/>
          <w:szCs w:val="22"/>
        </w:rPr>
      </w:pPr>
    </w:p>
    <w:p w14:paraId="0F868BA3" w14:textId="1B4351DC" w:rsidR="0088088F" w:rsidRDefault="0088088F" w:rsidP="00FB3EC7">
      <w:pPr>
        <w:jc w:val="center"/>
        <w:rPr>
          <w:rFonts w:ascii="CIDFont+F5" w:hAnsi="CIDFont+F5" w:cs="CIDFont+F5"/>
          <w:b/>
          <w:bCs/>
          <w:kern w:val="0"/>
          <w:sz w:val="22"/>
          <w:szCs w:val="22"/>
        </w:rPr>
      </w:pPr>
      <w:r w:rsidRPr="00FB3EC7">
        <w:rPr>
          <w:rFonts w:ascii="CIDFont+F5" w:hAnsi="CIDFont+F5" w:cs="CIDFont+F5"/>
          <w:b/>
          <w:bCs/>
          <w:kern w:val="0"/>
          <w:sz w:val="22"/>
          <w:szCs w:val="22"/>
        </w:rPr>
        <w:t>Articolo 3, comma 3</w:t>
      </w:r>
      <w:r w:rsidRPr="00FB3EC7">
        <w:rPr>
          <w:rFonts w:ascii="CIDFont+F5" w:hAnsi="CIDFont+F5" w:cs="CIDFont+F5"/>
          <w:b/>
          <w:bCs/>
          <w:kern w:val="0"/>
          <w:sz w:val="22"/>
          <w:szCs w:val="22"/>
        </w:rPr>
        <w:br/>
        <w:t>(Proroga del termine di presentazione della domanda di trasferimento di immobili statali in gestione all’Agenzia del demanio agli enti territoriali)</w:t>
      </w:r>
    </w:p>
    <w:p w14:paraId="3CAE291E" w14:textId="77777777" w:rsidR="008B1A1B" w:rsidRDefault="008B1A1B" w:rsidP="00FB3EC7">
      <w:pPr>
        <w:jc w:val="center"/>
        <w:rPr>
          <w:rFonts w:ascii="CIDFont+F5" w:hAnsi="CIDFont+F5" w:cs="CIDFont+F5"/>
          <w:b/>
          <w:bCs/>
          <w:kern w:val="0"/>
          <w:sz w:val="22"/>
          <w:szCs w:val="22"/>
        </w:rPr>
      </w:pPr>
    </w:p>
    <w:p w14:paraId="660437DA" w14:textId="541AEF61" w:rsidR="00FB3EC7" w:rsidRPr="00FB3EC7" w:rsidRDefault="00FB3EC7" w:rsidP="00FB3EC7">
      <w:pPr>
        <w:pBdr>
          <w:top w:val="single" w:sz="4" w:space="1" w:color="auto"/>
          <w:left w:val="single" w:sz="4" w:space="4" w:color="auto"/>
          <w:bottom w:val="single" w:sz="4" w:space="1" w:color="auto"/>
          <w:right w:val="single" w:sz="4" w:space="4" w:color="auto"/>
        </w:pBdr>
        <w:jc w:val="both"/>
        <w:rPr>
          <w:rFonts w:ascii="CIDFont+F2" w:hAnsi="CIDFont+F2" w:cs="CIDFont+F2"/>
          <w:i/>
          <w:iCs/>
          <w:kern w:val="0"/>
          <w:sz w:val="22"/>
          <w:szCs w:val="22"/>
        </w:rPr>
      </w:pPr>
      <w:r w:rsidRPr="00FB3EC7">
        <w:rPr>
          <w:rFonts w:ascii="CIDFont+F2" w:hAnsi="CIDFont+F2" w:cs="CIDFont+F2"/>
          <w:i/>
          <w:iCs/>
          <w:kern w:val="0"/>
          <w:sz w:val="22"/>
          <w:szCs w:val="22"/>
        </w:rPr>
        <w:t xml:space="preserve">3. All’articolo 15-bis, comma 1, del decreto-legge 24 febbraio 2023, n. 13, convertito, con modificazioni, dalla legge 21 aprile 2023, n. 41, riguardante il trasferimento in proprietà, a titolo non oneroso, agli enti territoriali di alcuni immobili statali in gestione all’Agenzia del demanio, le parole: </w:t>
      </w:r>
      <w:proofErr w:type="gramStart"/>
      <w:r w:rsidRPr="00FB3EC7">
        <w:rPr>
          <w:rFonts w:ascii="CIDFont+F2" w:hAnsi="CIDFont+F2" w:cs="CIDFont+F2"/>
          <w:i/>
          <w:iCs/>
          <w:kern w:val="0"/>
          <w:sz w:val="22"/>
          <w:szCs w:val="22"/>
        </w:rPr>
        <w:t>« 31</w:t>
      </w:r>
      <w:proofErr w:type="gramEnd"/>
      <w:r w:rsidRPr="00FB3EC7">
        <w:rPr>
          <w:rFonts w:ascii="CIDFont+F2" w:hAnsi="CIDFont+F2" w:cs="CIDFont+F2"/>
          <w:i/>
          <w:iCs/>
          <w:kern w:val="0"/>
          <w:sz w:val="22"/>
          <w:szCs w:val="22"/>
        </w:rPr>
        <w:t xml:space="preserve"> dicembre 2024 » sono sostituite dalle seguenti: « 31 dicembre 2025 ».</w:t>
      </w:r>
    </w:p>
    <w:p w14:paraId="37A7A250"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L’articolo 3, comma 3, proroga al 31 dicembre 2025 il termine di presentazione della richiesta motivata per il trasferimento agli enti territoriali, a titolo gratuito, della proprietà di determinati beni immobili in gestione all’Agenzia del demanio.</w:t>
      </w:r>
    </w:p>
    <w:p w14:paraId="350AB672" w14:textId="77777777" w:rsidR="0088088F"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L’articolo 3, comma 3, del decreto in esame proroga al 31 dicembre 2025 il termine entro il quale gli enti territoriali (regioni, comuni, province e città metropolitane) possono presentare, ai sensi dell’</w:t>
      </w:r>
      <w:hyperlink r:id="rId13" w:history="1">
        <w:r w:rsidRPr="00E76549">
          <w:rPr>
            <w:rFonts w:ascii="CIDFont+F5" w:hAnsi="CIDFont+F5" w:cs="CIDFont+F5"/>
            <w:kern w:val="0"/>
            <w:sz w:val="22"/>
            <w:szCs w:val="22"/>
          </w:rPr>
          <w:t>articolo 15-bis, comma 1</w:t>
        </w:r>
      </w:hyperlink>
      <w:r w:rsidRPr="00E76549">
        <w:rPr>
          <w:rFonts w:ascii="CIDFont+F5" w:hAnsi="CIDFont+F5" w:cs="CIDFont+F5"/>
          <w:kern w:val="0"/>
          <w:sz w:val="22"/>
          <w:szCs w:val="22"/>
        </w:rPr>
        <w:t>, del decreto-legge n. 13 del 2023, richiesta motivata all’Agenzia del demanio ai fini del trasferimento in loro favore, a titolo gratuito, della proprietà di talune categorie di beni immobili, in gestione all’Agenzia medesima.</w:t>
      </w:r>
    </w:p>
    <w:p w14:paraId="245B20B4" w14:textId="77777777" w:rsidR="00F034BC" w:rsidRDefault="00F034BC" w:rsidP="00F034BC">
      <w:pPr>
        <w:spacing w:after="0"/>
        <w:jc w:val="both"/>
        <w:rPr>
          <w:rFonts w:ascii="CIDFont+F5" w:hAnsi="CIDFont+F5" w:cs="CIDFont+F5"/>
          <w:kern w:val="0"/>
          <w:sz w:val="22"/>
          <w:szCs w:val="22"/>
        </w:rPr>
      </w:pPr>
    </w:p>
    <w:p w14:paraId="53B18B85" w14:textId="77777777" w:rsidR="008B1A1B" w:rsidRDefault="008B1A1B" w:rsidP="00F034BC">
      <w:pPr>
        <w:spacing w:after="0"/>
        <w:jc w:val="both"/>
        <w:rPr>
          <w:rFonts w:ascii="CIDFont+F5" w:hAnsi="CIDFont+F5" w:cs="CIDFont+F5"/>
          <w:kern w:val="0"/>
          <w:sz w:val="22"/>
          <w:szCs w:val="22"/>
        </w:rPr>
      </w:pPr>
    </w:p>
    <w:p w14:paraId="55798698" w14:textId="77777777" w:rsidR="008B1A1B" w:rsidRDefault="008B1A1B" w:rsidP="00F034BC">
      <w:pPr>
        <w:spacing w:after="0"/>
        <w:jc w:val="both"/>
        <w:rPr>
          <w:rFonts w:ascii="CIDFont+F5" w:hAnsi="CIDFont+F5" w:cs="CIDFont+F5"/>
          <w:kern w:val="0"/>
          <w:sz w:val="22"/>
          <w:szCs w:val="22"/>
        </w:rPr>
      </w:pPr>
    </w:p>
    <w:p w14:paraId="100ADAF1" w14:textId="77777777" w:rsidR="008B1A1B" w:rsidRDefault="008B1A1B" w:rsidP="00F034BC">
      <w:pPr>
        <w:spacing w:after="0"/>
        <w:jc w:val="both"/>
        <w:rPr>
          <w:rFonts w:ascii="CIDFont+F5" w:hAnsi="CIDFont+F5" w:cs="CIDFont+F5"/>
          <w:kern w:val="0"/>
          <w:sz w:val="22"/>
          <w:szCs w:val="22"/>
        </w:rPr>
      </w:pPr>
    </w:p>
    <w:p w14:paraId="7E5ABD49" w14:textId="77777777" w:rsidR="008B1A1B" w:rsidRDefault="008B1A1B" w:rsidP="00F034BC">
      <w:pPr>
        <w:spacing w:after="0"/>
        <w:jc w:val="both"/>
        <w:rPr>
          <w:rFonts w:ascii="CIDFont+F5" w:hAnsi="CIDFont+F5" w:cs="CIDFont+F5"/>
          <w:kern w:val="0"/>
          <w:sz w:val="22"/>
          <w:szCs w:val="22"/>
        </w:rPr>
      </w:pPr>
    </w:p>
    <w:p w14:paraId="36EBB866" w14:textId="77777777" w:rsidR="008B1A1B" w:rsidRPr="00E76549" w:rsidRDefault="008B1A1B" w:rsidP="00F034BC">
      <w:pPr>
        <w:spacing w:after="0"/>
        <w:jc w:val="both"/>
        <w:rPr>
          <w:rFonts w:ascii="CIDFont+F5" w:hAnsi="CIDFont+F5" w:cs="CIDFont+F5"/>
          <w:kern w:val="0"/>
          <w:sz w:val="22"/>
          <w:szCs w:val="22"/>
        </w:rPr>
      </w:pPr>
    </w:p>
    <w:p w14:paraId="75550959" w14:textId="77777777" w:rsidR="0088088F" w:rsidRDefault="0088088F" w:rsidP="00FB3EC7">
      <w:pPr>
        <w:jc w:val="center"/>
        <w:rPr>
          <w:rFonts w:ascii="CIDFont+F5" w:hAnsi="CIDFont+F5" w:cs="CIDFont+F5"/>
          <w:b/>
          <w:bCs/>
          <w:kern w:val="0"/>
          <w:sz w:val="22"/>
          <w:szCs w:val="22"/>
        </w:rPr>
      </w:pPr>
      <w:r w:rsidRPr="00FB3EC7">
        <w:rPr>
          <w:rFonts w:ascii="CIDFont+F5" w:hAnsi="CIDFont+F5" w:cs="CIDFont+F5"/>
          <w:b/>
          <w:bCs/>
          <w:kern w:val="0"/>
          <w:sz w:val="22"/>
          <w:szCs w:val="22"/>
        </w:rPr>
        <w:lastRenderedPageBreak/>
        <w:t>Articolo 3, comma 14-quinquies</w:t>
      </w:r>
      <w:r w:rsidRPr="00FB3EC7">
        <w:rPr>
          <w:rFonts w:ascii="CIDFont+F5" w:hAnsi="CIDFont+F5" w:cs="CIDFont+F5"/>
          <w:b/>
          <w:bCs/>
          <w:kern w:val="0"/>
          <w:sz w:val="22"/>
          <w:szCs w:val="22"/>
        </w:rPr>
        <w:br/>
        <w:t>(Alleggerimento degli oneri da indebitamento degli enti locali)</w:t>
      </w:r>
    </w:p>
    <w:p w14:paraId="13221DFF" w14:textId="7544E394" w:rsidR="00FB3EC7" w:rsidRPr="00FB3EC7" w:rsidRDefault="00FB3EC7" w:rsidP="00FB3EC7">
      <w:pPr>
        <w:pBdr>
          <w:top w:val="single" w:sz="4" w:space="1" w:color="auto"/>
          <w:left w:val="single" w:sz="4" w:space="4" w:color="auto"/>
          <w:bottom w:val="single" w:sz="4" w:space="1" w:color="auto"/>
          <w:right w:val="single" w:sz="4" w:space="4" w:color="auto"/>
        </w:pBdr>
        <w:jc w:val="both"/>
        <w:rPr>
          <w:rFonts w:ascii="CIDFont+F2" w:hAnsi="CIDFont+F2" w:cs="CIDFont+F2"/>
          <w:i/>
          <w:iCs/>
          <w:kern w:val="0"/>
          <w:sz w:val="22"/>
          <w:szCs w:val="22"/>
        </w:rPr>
      </w:pPr>
      <w:r w:rsidRPr="00FB3EC7">
        <w:rPr>
          <w:rFonts w:ascii="CIDFont+F2" w:hAnsi="CIDFont+F2" w:cs="CIDFont+F2"/>
          <w:i/>
          <w:iCs/>
          <w:kern w:val="0"/>
          <w:sz w:val="22"/>
          <w:szCs w:val="22"/>
        </w:rPr>
        <w:t xml:space="preserve">14-quinquies. In relazione alla dinamica dei prezzi originata dall’incremento degli oneri relativi all’energia elettrica, al gas e ai carburanti, all’articolo 3-ter, commi 2 e 3, del decreto-legge 29 dicembre 2022, n. 198, convertito, con modificazioni, dalla legge 24 febbraio 2023, n. 14, le parole: </w:t>
      </w:r>
      <w:proofErr w:type="gramStart"/>
      <w:r w:rsidRPr="00FB3EC7">
        <w:rPr>
          <w:rFonts w:ascii="CIDFont+F2" w:hAnsi="CIDFont+F2" w:cs="CIDFont+F2"/>
          <w:i/>
          <w:iCs/>
          <w:kern w:val="0"/>
          <w:sz w:val="22"/>
          <w:szCs w:val="22"/>
        </w:rPr>
        <w:t>« negli</w:t>
      </w:r>
      <w:proofErr w:type="gramEnd"/>
      <w:r w:rsidRPr="00FB3EC7">
        <w:rPr>
          <w:rFonts w:ascii="CIDFont+F2" w:hAnsi="CIDFont+F2" w:cs="CIDFont+F2"/>
          <w:i/>
          <w:iCs/>
          <w:kern w:val="0"/>
          <w:sz w:val="22"/>
          <w:szCs w:val="22"/>
        </w:rPr>
        <w:t xml:space="preserve"> anni 2023 e 2024 » sono sostituite dalle seguenti: « negli anni 2023, 2024 e 2025 ».</w:t>
      </w:r>
    </w:p>
    <w:p w14:paraId="5A549517"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Il comma in esame, introdotto nel corso dell’esame in sede referente, reca una proroga all’anno 2025 di alcune misure specifiche previste per gli anni 2023 e 2024 a favore degli enti locali correlate con le esigenze poste dalle difficoltà determinate dall’emergenza dovuta all'aumento dei costi energetici.</w:t>
      </w:r>
    </w:p>
    <w:p w14:paraId="79E873A3"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In particolare, si consente agli enti locali, in considerazione dell’emergenza energetica in corso, di poter effettuare, anche nell’anno 2024, operazioni di rinegoziazione o sospensione della quota capitale di mutui e di altre forme di prestito contratto con banche, intermediari finanziari e Cassa depositi e prestiti.</w:t>
      </w:r>
    </w:p>
    <w:p w14:paraId="65A91DB6"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Inoltre, in caso di adesione, da parte dell'ente locale, ad accordi promossi dall'Associazione Bancaria Italiana (Abi) e dalle associazioni degli enti locali che prevedono la sospensione della quota capitale delle rate di ammortamento dei finanziamenti in essere, la eventuale sospensione della quota capitale dei mutui bancari in scadenza nell'anno 2023 e 2024 possa avvenire in deroga alle regole dell’art. 204 del TUEL, fermo restando il pagamento delle quote interessi alle scadenze contrattualmente previste.</w:t>
      </w:r>
    </w:p>
    <w:p w14:paraId="23E5C5BB"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Si rammenta che l’articolo 3-ter del decreto-legge n. 198 del 2022 – la cui applicazione è ora estesa all’anno 2024 dalla disposizione in esame – reca disposizioni a favore degli enti locali, correlate con le esigenze poste dalle difficoltà determinate dall’emergenza dovuta all'aumento dei costi energetici.</w:t>
      </w:r>
    </w:p>
    <w:p w14:paraId="40DF5F04"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In particolare, il comma 2 consente agli enti locali nel corso dell'anno 2023, in considerazione dell’emergenza energetica, di rinegoziare o sospendere con deliberazione di giunta, la quota capitale di mutui e altre forme di prestito contratto con le banche, gli intermediari finanziari e la Cassa depositi e prestiti, anche in esercizio provvisorio(</w:t>
      </w:r>
      <w:bookmarkStart w:id="0" w:name="r-w2aaab2c45c13c14"/>
      <w:r w:rsidRPr="00E76549">
        <w:rPr>
          <w:rFonts w:ascii="CIDFont+F5" w:hAnsi="CIDFont+F5" w:cs="CIDFont+F5"/>
          <w:kern w:val="0"/>
          <w:sz w:val="22"/>
          <w:szCs w:val="22"/>
        </w:rPr>
        <w:fldChar w:fldCharType="begin"/>
      </w:r>
      <w:r w:rsidRPr="00E76549">
        <w:rPr>
          <w:rFonts w:ascii="CIDFont+F5" w:hAnsi="CIDFont+F5" w:cs="CIDFont+F5"/>
          <w:kern w:val="0"/>
          <w:sz w:val="22"/>
          <w:szCs w:val="22"/>
        </w:rPr>
        <w:instrText>HYPERLINK "https://www.senato.it/japp/bgt/showdoc/" \l "n-w2aaab2c45c13c14"</w:instrText>
      </w:r>
      <w:r w:rsidRPr="00E76549">
        <w:rPr>
          <w:rFonts w:ascii="CIDFont+F5" w:hAnsi="CIDFont+F5" w:cs="CIDFont+F5"/>
          <w:kern w:val="0"/>
          <w:sz w:val="22"/>
          <w:szCs w:val="22"/>
        </w:rPr>
      </w:r>
      <w:r w:rsidRPr="00E76549">
        <w:rPr>
          <w:rFonts w:ascii="CIDFont+F5" w:hAnsi="CIDFont+F5" w:cs="CIDFont+F5"/>
          <w:kern w:val="0"/>
          <w:sz w:val="22"/>
          <w:szCs w:val="22"/>
        </w:rPr>
        <w:fldChar w:fldCharType="separate"/>
      </w:r>
      <w:r w:rsidRPr="00E76549">
        <w:rPr>
          <w:rFonts w:ascii="CIDFont+F5" w:hAnsi="CIDFont+F5" w:cs="CIDFont+F5"/>
          <w:kern w:val="0"/>
          <w:sz w:val="22"/>
          <w:szCs w:val="22"/>
        </w:rPr>
        <w:t>29</w:t>
      </w:r>
      <w:r w:rsidRPr="00E76549">
        <w:rPr>
          <w:rFonts w:ascii="CIDFont+F5" w:hAnsi="CIDFont+F5" w:cs="CIDFont+F5"/>
          <w:kern w:val="0"/>
          <w:sz w:val="22"/>
          <w:szCs w:val="22"/>
        </w:rPr>
        <w:fldChar w:fldCharType="end"/>
      </w:r>
      <w:bookmarkEnd w:id="0"/>
      <w:r w:rsidRPr="00E76549">
        <w:rPr>
          <w:rFonts w:ascii="CIDFont+F5" w:hAnsi="CIDFont+F5" w:cs="CIDFont+F5"/>
          <w:kern w:val="0"/>
          <w:sz w:val="22"/>
          <w:szCs w:val="22"/>
        </w:rPr>
        <w:t>) , fermo restando l’obbligo di provvedere successivamente alle relative iscrizioni nel bilancio di previsione.</w:t>
      </w:r>
    </w:p>
    <w:p w14:paraId="544CEC40"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Testo unico delle leggi sull'ordinamento degli enti locali di cui al decreto legislativo 18 agosto 2000, n. 267, mediante deliberazione dell'organo esecutivo, fermo restando l'obbligo di provvedere alle relative iscrizioni nel bilancio di previsione</w:t>
      </w:r>
    </w:p>
    <w:p w14:paraId="26103E40"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Sempre in considerazione dei maggiori costi energetici, il comma 3 interviene nella facilitazione dell’attuazione di eventuali accordi siglati tra ABI e le associazioni rappresentative degli enti locali. In particolare, il comma prevede che, in caso di adesione ad accordi promossi dall'Associazione Bancaria Italiana (Abi) e dalle associazioni degli enti locali che prevedono la sospensione delle quote capitale delle rate di ammortamento dei finanziamenti in essere in scadenza nell'anno 2023, con conseguente modifica del relativo piano di ammortamento, tale sospensione può avvenire anche in deroga alle disposizioni di cui all’art. 204, comma 2, del TUEL, riguardanti la disciplina dei piani di ammortamento dei mutui contratti dagli enti locali(</w:t>
      </w:r>
      <w:bookmarkStart w:id="1" w:name="r-w2aaab2c45c15c13"/>
      <w:r w:rsidRPr="00E76549">
        <w:rPr>
          <w:rFonts w:ascii="CIDFont+F5" w:hAnsi="CIDFont+F5" w:cs="CIDFont+F5"/>
          <w:kern w:val="0"/>
          <w:sz w:val="22"/>
          <w:szCs w:val="22"/>
        </w:rPr>
        <w:fldChar w:fldCharType="begin"/>
      </w:r>
      <w:r w:rsidRPr="00E76549">
        <w:rPr>
          <w:rFonts w:ascii="CIDFont+F5" w:hAnsi="CIDFont+F5" w:cs="CIDFont+F5"/>
          <w:kern w:val="0"/>
          <w:sz w:val="22"/>
          <w:szCs w:val="22"/>
        </w:rPr>
        <w:instrText>HYPERLINK "https://www.senato.it/japp/bgt/showdoc/" \l "n-w2aaab2c45c15c13"</w:instrText>
      </w:r>
      <w:r w:rsidRPr="00E76549">
        <w:rPr>
          <w:rFonts w:ascii="CIDFont+F5" w:hAnsi="CIDFont+F5" w:cs="CIDFont+F5"/>
          <w:kern w:val="0"/>
          <w:sz w:val="22"/>
          <w:szCs w:val="22"/>
        </w:rPr>
      </w:r>
      <w:r w:rsidRPr="00E76549">
        <w:rPr>
          <w:rFonts w:ascii="CIDFont+F5" w:hAnsi="CIDFont+F5" w:cs="CIDFont+F5"/>
          <w:kern w:val="0"/>
          <w:sz w:val="22"/>
          <w:szCs w:val="22"/>
        </w:rPr>
        <w:fldChar w:fldCharType="separate"/>
      </w:r>
      <w:r w:rsidRPr="00E76549">
        <w:rPr>
          <w:rFonts w:ascii="CIDFont+F5" w:hAnsi="CIDFont+F5" w:cs="CIDFont+F5"/>
          <w:kern w:val="0"/>
          <w:sz w:val="22"/>
          <w:szCs w:val="22"/>
        </w:rPr>
        <w:t>30</w:t>
      </w:r>
      <w:r w:rsidRPr="00E76549">
        <w:rPr>
          <w:rFonts w:ascii="CIDFont+F5" w:hAnsi="CIDFont+F5" w:cs="CIDFont+F5"/>
          <w:kern w:val="0"/>
          <w:sz w:val="22"/>
          <w:szCs w:val="22"/>
        </w:rPr>
        <w:fldChar w:fldCharType="end"/>
      </w:r>
      <w:bookmarkEnd w:id="1"/>
      <w:r w:rsidRPr="00E76549">
        <w:rPr>
          <w:rFonts w:ascii="CIDFont+F5" w:hAnsi="CIDFont+F5" w:cs="CIDFont+F5"/>
          <w:kern w:val="0"/>
          <w:sz w:val="22"/>
          <w:szCs w:val="22"/>
        </w:rPr>
        <w:t>) , e senza la verifica di convenienza di cui all’art. 41, commi 2 e 2-bis, della legge 448 del 2001, prevista per la conversione di mutui, per le operazioni di ammortamento del debito e per le operazioni in strumenti derivati da parte degli enti locali(</w:t>
      </w:r>
      <w:bookmarkStart w:id="2" w:name="r-w2aaab2c45c15c23"/>
      <w:r w:rsidRPr="00E76549">
        <w:rPr>
          <w:rFonts w:ascii="CIDFont+F5" w:hAnsi="CIDFont+F5" w:cs="CIDFont+F5"/>
          <w:kern w:val="0"/>
          <w:sz w:val="22"/>
          <w:szCs w:val="22"/>
        </w:rPr>
        <w:fldChar w:fldCharType="begin"/>
      </w:r>
      <w:r w:rsidRPr="00E76549">
        <w:rPr>
          <w:rFonts w:ascii="CIDFont+F5" w:hAnsi="CIDFont+F5" w:cs="CIDFont+F5"/>
          <w:kern w:val="0"/>
          <w:sz w:val="22"/>
          <w:szCs w:val="22"/>
        </w:rPr>
        <w:instrText>HYPERLINK "https://www.senato.it/japp/bgt/showdoc/" \l "n-w2aaab2c45c15c23"</w:instrText>
      </w:r>
      <w:r w:rsidRPr="00E76549">
        <w:rPr>
          <w:rFonts w:ascii="CIDFont+F5" w:hAnsi="CIDFont+F5" w:cs="CIDFont+F5"/>
          <w:kern w:val="0"/>
          <w:sz w:val="22"/>
          <w:szCs w:val="22"/>
        </w:rPr>
      </w:r>
      <w:r w:rsidRPr="00E76549">
        <w:rPr>
          <w:rFonts w:ascii="CIDFont+F5" w:hAnsi="CIDFont+F5" w:cs="CIDFont+F5"/>
          <w:kern w:val="0"/>
          <w:sz w:val="22"/>
          <w:szCs w:val="22"/>
        </w:rPr>
        <w:fldChar w:fldCharType="separate"/>
      </w:r>
      <w:r w:rsidRPr="00E76549">
        <w:rPr>
          <w:rFonts w:ascii="CIDFont+F5" w:hAnsi="CIDFont+F5" w:cs="CIDFont+F5"/>
          <w:kern w:val="0"/>
          <w:sz w:val="22"/>
          <w:szCs w:val="22"/>
        </w:rPr>
        <w:t>31</w:t>
      </w:r>
      <w:r w:rsidRPr="00E76549">
        <w:rPr>
          <w:rFonts w:ascii="CIDFont+F5" w:hAnsi="CIDFont+F5" w:cs="CIDFont+F5"/>
          <w:kern w:val="0"/>
          <w:sz w:val="22"/>
          <w:szCs w:val="22"/>
        </w:rPr>
        <w:fldChar w:fldCharType="end"/>
      </w:r>
      <w:bookmarkEnd w:id="2"/>
      <w:r w:rsidRPr="00E76549">
        <w:rPr>
          <w:rFonts w:ascii="CIDFont+F5" w:hAnsi="CIDFont+F5" w:cs="CIDFont+F5"/>
          <w:kern w:val="0"/>
          <w:sz w:val="22"/>
          <w:szCs w:val="22"/>
        </w:rPr>
        <w:t>) .</w:t>
      </w:r>
    </w:p>
    <w:p w14:paraId="5830DF69"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Resta fermo in ogni caso il pagamento delle quote interessi alle scadenze contrattualmente previste. Le sospensioni di cui al comma 3 non comportano il rilascio di nuove garanzie, essendo le stesse automaticamente prorogate al fine di recepire la modifica del piano di ammortamento.</w:t>
      </w:r>
    </w:p>
    <w:p w14:paraId="65F7A7E4"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Le norme di facilitazione procedurale introdotte dall’articolo 3-ter, commi 2-3, del D.L. n. 198/2022 potranno avere effetti concreti solo in presenza di effettive operazioni di rinegoziazione da parte della Cassa Depositi e Prestiti e/o delle banche.</w:t>
      </w:r>
    </w:p>
    <w:p w14:paraId="79EE06F9" w14:textId="77777777" w:rsidR="0088088F" w:rsidRDefault="0088088F" w:rsidP="00F034BC">
      <w:pPr>
        <w:spacing w:after="0"/>
        <w:jc w:val="both"/>
        <w:rPr>
          <w:rFonts w:ascii="CIDFont+F5" w:hAnsi="CIDFont+F5" w:cs="CIDFont+F5"/>
          <w:kern w:val="0"/>
          <w:sz w:val="22"/>
          <w:szCs w:val="22"/>
        </w:rPr>
      </w:pPr>
    </w:p>
    <w:p w14:paraId="0F75F3D5" w14:textId="77777777" w:rsidR="008B1A1B" w:rsidRDefault="008B1A1B" w:rsidP="00F034BC">
      <w:pPr>
        <w:spacing w:after="0"/>
        <w:jc w:val="both"/>
        <w:rPr>
          <w:rFonts w:ascii="CIDFont+F5" w:hAnsi="CIDFont+F5" w:cs="CIDFont+F5"/>
          <w:kern w:val="0"/>
          <w:sz w:val="22"/>
          <w:szCs w:val="22"/>
        </w:rPr>
      </w:pPr>
    </w:p>
    <w:p w14:paraId="1F978BB2" w14:textId="77777777" w:rsidR="008B1A1B" w:rsidRPr="00E76549" w:rsidRDefault="008B1A1B" w:rsidP="00F034BC">
      <w:pPr>
        <w:spacing w:after="0"/>
        <w:jc w:val="both"/>
        <w:rPr>
          <w:rFonts w:ascii="CIDFont+F5" w:hAnsi="CIDFont+F5" w:cs="CIDFont+F5"/>
          <w:kern w:val="0"/>
          <w:sz w:val="22"/>
          <w:szCs w:val="22"/>
        </w:rPr>
      </w:pPr>
    </w:p>
    <w:p w14:paraId="3B8E70E0" w14:textId="77777777" w:rsidR="0088088F" w:rsidRDefault="0088088F" w:rsidP="00FB3EC7">
      <w:pPr>
        <w:jc w:val="center"/>
        <w:rPr>
          <w:rFonts w:ascii="CIDFont+F5" w:hAnsi="CIDFont+F5" w:cs="CIDFont+F5"/>
          <w:b/>
          <w:bCs/>
          <w:kern w:val="0"/>
          <w:sz w:val="22"/>
          <w:szCs w:val="22"/>
        </w:rPr>
      </w:pPr>
      <w:r w:rsidRPr="00FB3EC7">
        <w:rPr>
          <w:rFonts w:ascii="CIDFont+F5" w:hAnsi="CIDFont+F5" w:cs="CIDFont+F5"/>
          <w:b/>
          <w:bCs/>
          <w:kern w:val="0"/>
          <w:sz w:val="22"/>
          <w:szCs w:val="22"/>
        </w:rPr>
        <w:t>Articolo 3, comma 14-septies</w:t>
      </w:r>
      <w:r w:rsidRPr="00FB3EC7">
        <w:rPr>
          <w:rFonts w:ascii="CIDFont+F5" w:hAnsi="CIDFont+F5" w:cs="CIDFont+F5"/>
          <w:b/>
          <w:bCs/>
          <w:kern w:val="0"/>
          <w:sz w:val="22"/>
          <w:szCs w:val="22"/>
        </w:rPr>
        <w:br/>
        <w:t>(Accertamento e riscossione entrate locali)</w:t>
      </w:r>
    </w:p>
    <w:p w14:paraId="33C75716" w14:textId="77777777" w:rsidR="008B1A1B" w:rsidRDefault="008B1A1B" w:rsidP="00FB3EC7">
      <w:pPr>
        <w:jc w:val="center"/>
        <w:rPr>
          <w:rFonts w:ascii="CIDFont+F5" w:hAnsi="CIDFont+F5" w:cs="CIDFont+F5"/>
          <w:b/>
          <w:bCs/>
          <w:kern w:val="0"/>
          <w:sz w:val="22"/>
          <w:szCs w:val="22"/>
        </w:rPr>
      </w:pPr>
    </w:p>
    <w:p w14:paraId="5112B899" w14:textId="5789693C" w:rsidR="00FB3EC7" w:rsidRPr="002D77C9" w:rsidRDefault="002D77C9" w:rsidP="002D77C9">
      <w:pPr>
        <w:pBdr>
          <w:top w:val="single" w:sz="4" w:space="1" w:color="auto"/>
          <w:left w:val="single" w:sz="4" w:space="4" w:color="auto"/>
          <w:bottom w:val="single" w:sz="4" w:space="1" w:color="auto"/>
          <w:right w:val="single" w:sz="4" w:space="4" w:color="auto"/>
        </w:pBdr>
        <w:jc w:val="both"/>
        <w:rPr>
          <w:rFonts w:ascii="CIDFont+F2" w:hAnsi="CIDFont+F2" w:cs="CIDFont+F2"/>
          <w:i/>
          <w:iCs/>
          <w:kern w:val="0"/>
          <w:sz w:val="22"/>
          <w:szCs w:val="22"/>
        </w:rPr>
      </w:pPr>
      <w:r w:rsidRPr="002D77C9">
        <w:rPr>
          <w:rFonts w:ascii="CIDFont+F2" w:hAnsi="CIDFont+F2" w:cs="CIDFont+F2"/>
          <w:i/>
          <w:iCs/>
          <w:kern w:val="0"/>
          <w:sz w:val="22"/>
          <w:szCs w:val="22"/>
        </w:rPr>
        <w:t xml:space="preserve">14-septies. Per l’anno 2025, il termine del 31 marzo, di cui all’articolo 12, comma 1, lettera a), del regolamento di cui al decreto del Ministro dell’economia e delle finanze 13 aprile 2022, n. 101, è prorogato al 30 settembre 2025. Al fine di adeguare la disciplina relativa all’albo di cui all’articolo 53 del decreto legislativo 15 dicembre 1997, n. 446, anche alla normativa dell’Unione europea direttamente applicabile, si procede alla revisione del regolamento di cui al decreto del Ministro dell’economia e delle finanze 13 aprile 2022, n. 101, con regolamento da emanare entro centottanta giorni dalla data di entrata in vigore della legge di conversione del presente decreto. A tal fine, le disposizioni di cui agli articoli 52, comma 5, lettera b), numero 1), e 53, comma 1, del decreto legislativo n. 446 del 1997, conformemente alla disciplina recata dalla normativa dell’Unione europea direttamente applicabile, si interpretano nel senso che le società di scopo, di cui all’articolo 194 del codice dei contratti pubblici, di cui al decreto legislativo 31 marzo 2023, n. 36, o di progetto, di cui al previgente articolo 184 del codice dei contratti pubblici, di cui al decreto legislativo 18 aprile 2016, n. 50, costituite per svolgere attività di accertamento e di riscossione o attività di supporto ad esse propedeutiche, non sono iscritte nell’albo di cui all’articolo 53 del decreto legislativo n. 446 del 1997, laddove la società aggiudicataria del bando di gara per l’affidamento del servizio di accertamento e di riscossione delle entrate degli enti locali, socia della stessa società di scopo, risulti già iscritta nel predetto albo. Gli atti di accertamento e di riscossione emessi dalle società di scopo di cui al precedente periodo sono da considerare legittimi in quanto emessi in luogo dell’aggiudicatario, comunque tenuto a garantire in solido l’adempimento di tutte le prestazioni erogate direttamente dalle </w:t>
      </w:r>
      <w:proofErr w:type="gramStart"/>
      <w:r w:rsidRPr="002D77C9">
        <w:rPr>
          <w:rFonts w:ascii="CIDFont+F2" w:hAnsi="CIDFont+F2" w:cs="CIDFont+F2"/>
          <w:i/>
          <w:iCs/>
          <w:kern w:val="0"/>
          <w:sz w:val="22"/>
          <w:szCs w:val="22"/>
        </w:rPr>
        <w:t>predette</w:t>
      </w:r>
      <w:proofErr w:type="gramEnd"/>
      <w:r w:rsidRPr="002D77C9">
        <w:rPr>
          <w:rFonts w:ascii="CIDFont+F2" w:hAnsi="CIDFont+F2" w:cs="CIDFont+F2"/>
          <w:i/>
          <w:iCs/>
          <w:kern w:val="0"/>
          <w:sz w:val="22"/>
          <w:szCs w:val="22"/>
        </w:rPr>
        <w:t xml:space="preserve"> società.</w:t>
      </w:r>
    </w:p>
    <w:p w14:paraId="628D02EF"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L’articolo 3, comma 14-septies, proroga i termini previsti dall’articolo 18, comma 1, del decreto n. 289 del 2000 e dall’articolo 12, comma 1, lettera a) del decreto n. 101 del 2022 al 30 settembre 2025 e prevede la revisione dei citati decreti in modo da adeguare la disciplina dell’articolo 53 del decreto legislativo n. 446 del 1997, relativa all’albo per l'accertamento e riscossione delle entrate degli enti locali, alla normativa dell’UE.</w:t>
      </w:r>
    </w:p>
    <w:p w14:paraId="56B6888E"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Infine, l’articolo in commento, interpreta gli articoli 52, comma 5, lettera b), n. 1 e 53, comma 1, conformemente alla disciplina unionale, nel senso che le società di scopo o di progetto non sono iscritte all’albo se la società aggiudicataria del bando di gara per l’affidamento del servizio di accertamento e di riscossione delle entrate degli enti locali, socia delle società menzionate, sia già iscritta all’albo. Di conseguenza, gli atti emessi dalle società di scopo o di progetto sono ritenuti legittimi, in quanto emessi in luogo dell’aggiudicatario, obbligato in solido all’adempimento di tutte le prestazioni erogate dalle società.</w:t>
      </w:r>
    </w:p>
    <w:p w14:paraId="33A1817C" w14:textId="77777777" w:rsidR="0088088F" w:rsidRDefault="0088088F" w:rsidP="00F034BC">
      <w:pPr>
        <w:spacing w:after="0"/>
        <w:jc w:val="both"/>
        <w:rPr>
          <w:rFonts w:ascii="CIDFont+F5" w:hAnsi="CIDFont+F5" w:cs="CIDFont+F5"/>
          <w:kern w:val="0"/>
          <w:sz w:val="22"/>
          <w:szCs w:val="22"/>
        </w:rPr>
      </w:pPr>
    </w:p>
    <w:p w14:paraId="3A657E43" w14:textId="77777777" w:rsidR="008B1A1B" w:rsidRDefault="008B1A1B" w:rsidP="00F034BC">
      <w:pPr>
        <w:spacing w:after="0"/>
        <w:jc w:val="both"/>
        <w:rPr>
          <w:rFonts w:ascii="CIDFont+F5" w:hAnsi="CIDFont+F5" w:cs="CIDFont+F5"/>
          <w:kern w:val="0"/>
          <w:sz w:val="22"/>
          <w:szCs w:val="22"/>
        </w:rPr>
      </w:pPr>
    </w:p>
    <w:p w14:paraId="1F7FD494" w14:textId="77777777" w:rsidR="008B1A1B" w:rsidRDefault="008B1A1B" w:rsidP="00F034BC">
      <w:pPr>
        <w:spacing w:after="0"/>
        <w:jc w:val="both"/>
        <w:rPr>
          <w:rFonts w:ascii="CIDFont+F5" w:hAnsi="CIDFont+F5" w:cs="CIDFont+F5"/>
          <w:kern w:val="0"/>
          <w:sz w:val="22"/>
          <w:szCs w:val="22"/>
        </w:rPr>
      </w:pPr>
    </w:p>
    <w:p w14:paraId="6D5F324B" w14:textId="77777777" w:rsidR="008B1A1B" w:rsidRDefault="008B1A1B" w:rsidP="00F034BC">
      <w:pPr>
        <w:spacing w:after="0"/>
        <w:jc w:val="both"/>
        <w:rPr>
          <w:rFonts w:ascii="CIDFont+F5" w:hAnsi="CIDFont+F5" w:cs="CIDFont+F5"/>
          <w:kern w:val="0"/>
          <w:sz w:val="22"/>
          <w:szCs w:val="22"/>
        </w:rPr>
      </w:pPr>
    </w:p>
    <w:p w14:paraId="7F97500F" w14:textId="77777777" w:rsidR="008B1A1B" w:rsidRDefault="008B1A1B" w:rsidP="00F034BC">
      <w:pPr>
        <w:spacing w:after="0"/>
        <w:jc w:val="both"/>
        <w:rPr>
          <w:rFonts w:ascii="CIDFont+F5" w:hAnsi="CIDFont+F5" w:cs="CIDFont+F5"/>
          <w:kern w:val="0"/>
          <w:sz w:val="22"/>
          <w:szCs w:val="22"/>
        </w:rPr>
      </w:pPr>
    </w:p>
    <w:p w14:paraId="454F5DC7" w14:textId="77777777" w:rsidR="008B1A1B" w:rsidRDefault="008B1A1B" w:rsidP="00F034BC">
      <w:pPr>
        <w:spacing w:after="0"/>
        <w:jc w:val="both"/>
        <w:rPr>
          <w:rFonts w:ascii="CIDFont+F5" w:hAnsi="CIDFont+F5" w:cs="CIDFont+F5"/>
          <w:kern w:val="0"/>
          <w:sz w:val="22"/>
          <w:szCs w:val="22"/>
        </w:rPr>
      </w:pPr>
    </w:p>
    <w:p w14:paraId="37860ED5" w14:textId="77777777" w:rsidR="008B1A1B" w:rsidRDefault="008B1A1B" w:rsidP="00F034BC">
      <w:pPr>
        <w:spacing w:after="0"/>
        <w:jc w:val="both"/>
        <w:rPr>
          <w:rFonts w:ascii="CIDFont+F5" w:hAnsi="CIDFont+F5" w:cs="CIDFont+F5"/>
          <w:kern w:val="0"/>
          <w:sz w:val="22"/>
          <w:szCs w:val="22"/>
        </w:rPr>
      </w:pPr>
    </w:p>
    <w:p w14:paraId="1FB56178" w14:textId="77777777" w:rsidR="008B1A1B" w:rsidRPr="00E76549" w:rsidRDefault="008B1A1B" w:rsidP="00F034BC">
      <w:pPr>
        <w:spacing w:after="0"/>
        <w:jc w:val="both"/>
        <w:rPr>
          <w:rFonts w:ascii="CIDFont+F5" w:hAnsi="CIDFont+F5" w:cs="CIDFont+F5"/>
          <w:kern w:val="0"/>
          <w:sz w:val="22"/>
          <w:szCs w:val="22"/>
        </w:rPr>
      </w:pPr>
    </w:p>
    <w:p w14:paraId="21B322AC" w14:textId="77777777" w:rsidR="008B1A1B" w:rsidRDefault="008B1A1B" w:rsidP="002D77C9">
      <w:pPr>
        <w:jc w:val="center"/>
        <w:rPr>
          <w:rFonts w:ascii="CIDFont+F5" w:hAnsi="CIDFont+F5" w:cs="CIDFont+F5"/>
          <w:b/>
          <w:bCs/>
          <w:kern w:val="0"/>
          <w:sz w:val="22"/>
          <w:szCs w:val="22"/>
        </w:rPr>
      </w:pPr>
    </w:p>
    <w:p w14:paraId="44487A5D" w14:textId="77777777" w:rsidR="008B1A1B" w:rsidRDefault="008B1A1B" w:rsidP="002D77C9">
      <w:pPr>
        <w:jc w:val="center"/>
        <w:rPr>
          <w:rFonts w:ascii="CIDFont+F5" w:hAnsi="CIDFont+F5" w:cs="CIDFont+F5"/>
          <w:b/>
          <w:bCs/>
          <w:kern w:val="0"/>
          <w:sz w:val="22"/>
          <w:szCs w:val="22"/>
        </w:rPr>
      </w:pPr>
    </w:p>
    <w:p w14:paraId="55F139FA" w14:textId="7045E3FE" w:rsidR="0088088F" w:rsidRDefault="0088088F" w:rsidP="002D77C9">
      <w:pPr>
        <w:jc w:val="center"/>
        <w:rPr>
          <w:rFonts w:ascii="CIDFont+F5" w:hAnsi="CIDFont+F5" w:cs="CIDFont+F5"/>
          <w:b/>
          <w:bCs/>
          <w:kern w:val="0"/>
          <w:sz w:val="22"/>
          <w:szCs w:val="22"/>
        </w:rPr>
      </w:pPr>
      <w:r w:rsidRPr="002D77C9">
        <w:rPr>
          <w:rFonts w:ascii="CIDFont+F5" w:hAnsi="CIDFont+F5" w:cs="CIDFont+F5"/>
          <w:b/>
          <w:bCs/>
          <w:kern w:val="0"/>
          <w:sz w:val="22"/>
          <w:szCs w:val="22"/>
        </w:rPr>
        <w:t>Articolo 3-bis</w:t>
      </w:r>
      <w:r w:rsidRPr="002D77C9">
        <w:rPr>
          <w:rFonts w:ascii="CIDFont+F5" w:hAnsi="CIDFont+F5" w:cs="CIDFont+F5"/>
          <w:b/>
          <w:bCs/>
          <w:kern w:val="0"/>
          <w:sz w:val="22"/>
          <w:szCs w:val="22"/>
        </w:rPr>
        <w:br/>
        <w:t>(Riammissione alla definizione agevolata di cui all’articolo 1, commi da 231 a 252, della legge n. 197 del 2022 e altri differimenti in materia di dichiarazioni fiscali)</w:t>
      </w:r>
    </w:p>
    <w:p w14:paraId="12AF9ACD" w14:textId="77777777" w:rsidR="008B1A1B" w:rsidRDefault="008B1A1B" w:rsidP="002D77C9">
      <w:pPr>
        <w:jc w:val="center"/>
        <w:rPr>
          <w:rFonts w:ascii="CIDFont+F5" w:hAnsi="CIDFont+F5" w:cs="CIDFont+F5"/>
          <w:b/>
          <w:bCs/>
          <w:kern w:val="0"/>
          <w:sz w:val="22"/>
          <w:szCs w:val="22"/>
        </w:rPr>
      </w:pPr>
    </w:p>
    <w:p w14:paraId="788206C8" w14:textId="77777777" w:rsidR="002D77C9" w:rsidRDefault="002D77C9" w:rsidP="002D77C9">
      <w:pPr>
        <w:pBdr>
          <w:top w:val="single" w:sz="4" w:space="1" w:color="auto"/>
          <w:left w:val="single" w:sz="4" w:space="4" w:color="auto"/>
          <w:bottom w:val="single" w:sz="4" w:space="1" w:color="auto"/>
          <w:right w:val="single" w:sz="4" w:space="4" w:color="auto"/>
        </w:pBdr>
        <w:spacing w:after="0"/>
        <w:jc w:val="both"/>
        <w:rPr>
          <w:rFonts w:ascii="CIDFont+F2" w:hAnsi="CIDFont+F2" w:cs="CIDFont+F2"/>
          <w:i/>
          <w:iCs/>
          <w:kern w:val="0"/>
          <w:sz w:val="22"/>
          <w:szCs w:val="22"/>
        </w:rPr>
      </w:pPr>
      <w:r w:rsidRPr="002D77C9">
        <w:rPr>
          <w:rFonts w:ascii="CIDFont+F2" w:hAnsi="CIDFont+F2" w:cs="CIDFont+F2"/>
          <w:i/>
          <w:iCs/>
          <w:kern w:val="0"/>
          <w:sz w:val="22"/>
          <w:szCs w:val="22"/>
        </w:rPr>
        <w:t xml:space="preserve">1. Limitatamente ai debiti compresi nelle dichiarazioni precedentemente effettuate ai sensi dell’articolo 1, comma 235, della legge 29 dicembre 2022, n. 197, i debitori che alla data del 31 dicembre 2024 sono incorsi nell’inefficacia della relativa definizione a seguito del mancato, insufficiente o tardivo versamento, alle relative scadenze, delle somme da corrispondere per effetto dell’adesione alla predetta procedura di definizione agevolata, possono essere riammessi alla medesima rendendo, entro il 30 aprile 2025, la dichiarazione prevista dal medesimo comma 235 dell’articolo 1 della citata legge n. 197 del 2022. Tale dichiarazione è resa con le modalità, esclusivamente telematiche, che l’agente della riscossione pubblica nel proprio sito internet entro venti giorni dalla data di entrata in vigore della legge di conversione del presente decreto; in tale dichiarazione il debitore sceglie altresì il numero di rate nel quale intende effettuare il pagamento, entro il limite massimo di cui al comma 2, lettera b), numero 2), del presente articolo. </w:t>
      </w:r>
    </w:p>
    <w:p w14:paraId="7177B3BB" w14:textId="77777777" w:rsidR="002D77C9" w:rsidRDefault="002D77C9" w:rsidP="002D77C9">
      <w:pPr>
        <w:pBdr>
          <w:top w:val="single" w:sz="4" w:space="1" w:color="auto"/>
          <w:left w:val="single" w:sz="4" w:space="4" w:color="auto"/>
          <w:bottom w:val="single" w:sz="4" w:space="1" w:color="auto"/>
          <w:right w:val="single" w:sz="4" w:space="4" w:color="auto"/>
        </w:pBdr>
        <w:spacing w:after="0"/>
        <w:jc w:val="both"/>
        <w:rPr>
          <w:rFonts w:ascii="CIDFont+F2" w:hAnsi="CIDFont+F2" w:cs="CIDFont+F2"/>
          <w:i/>
          <w:iCs/>
          <w:kern w:val="0"/>
          <w:sz w:val="22"/>
          <w:szCs w:val="22"/>
        </w:rPr>
      </w:pPr>
      <w:r w:rsidRPr="002D77C9">
        <w:rPr>
          <w:rFonts w:ascii="CIDFont+F2" w:hAnsi="CIDFont+F2" w:cs="CIDFont+F2"/>
          <w:i/>
          <w:iCs/>
          <w:kern w:val="0"/>
          <w:sz w:val="22"/>
          <w:szCs w:val="22"/>
        </w:rPr>
        <w:t xml:space="preserve">2. In caso di riammissione alla procedura di definizione agevolata, ai sensi del comma 1, si applicano, con le seguenti deroghe, le disposizioni dell’articolo 1, commi 231, 232, 233, 236, 237, 238, 239, 240, 241, 242, 243, 244, 245, 246, 247, 248, 249, 250, 251 e 252, della legge n. 197 del 2022: </w:t>
      </w:r>
    </w:p>
    <w:p w14:paraId="131F681E" w14:textId="77777777" w:rsidR="002D77C9" w:rsidRDefault="002D77C9" w:rsidP="002D77C9">
      <w:pPr>
        <w:pBdr>
          <w:top w:val="single" w:sz="4" w:space="1" w:color="auto"/>
          <w:left w:val="single" w:sz="4" w:space="4" w:color="auto"/>
          <w:bottom w:val="single" w:sz="4" w:space="1" w:color="auto"/>
          <w:right w:val="single" w:sz="4" w:space="4" w:color="auto"/>
        </w:pBdr>
        <w:spacing w:after="0"/>
        <w:jc w:val="both"/>
        <w:rPr>
          <w:rFonts w:ascii="CIDFont+F2" w:hAnsi="CIDFont+F2" w:cs="CIDFont+F2"/>
          <w:i/>
          <w:iCs/>
          <w:kern w:val="0"/>
          <w:sz w:val="22"/>
          <w:szCs w:val="22"/>
        </w:rPr>
      </w:pPr>
      <w:r w:rsidRPr="002D77C9">
        <w:rPr>
          <w:rFonts w:ascii="CIDFont+F2" w:hAnsi="CIDFont+F2" w:cs="CIDFont+F2"/>
          <w:i/>
          <w:iCs/>
          <w:kern w:val="0"/>
          <w:sz w:val="22"/>
          <w:szCs w:val="22"/>
        </w:rPr>
        <w:t xml:space="preserve">a) la dichiarazione resa ai sensi del comma 1 può essere integrata, relativamente ai soli debiti di cui al medesimo comma 1, entro la stessa data del 30 aprile 2025; </w:t>
      </w:r>
    </w:p>
    <w:p w14:paraId="4A311B4C" w14:textId="77777777" w:rsidR="002D77C9" w:rsidRDefault="002D77C9" w:rsidP="002D77C9">
      <w:pPr>
        <w:pBdr>
          <w:top w:val="single" w:sz="4" w:space="1" w:color="auto"/>
          <w:left w:val="single" w:sz="4" w:space="4" w:color="auto"/>
          <w:bottom w:val="single" w:sz="4" w:space="1" w:color="auto"/>
          <w:right w:val="single" w:sz="4" w:space="4" w:color="auto"/>
        </w:pBdr>
        <w:spacing w:after="0"/>
        <w:jc w:val="both"/>
        <w:rPr>
          <w:rFonts w:ascii="CIDFont+F2" w:hAnsi="CIDFont+F2" w:cs="CIDFont+F2"/>
          <w:i/>
          <w:iCs/>
          <w:kern w:val="0"/>
          <w:sz w:val="22"/>
          <w:szCs w:val="22"/>
        </w:rPr>
      </w:pPr>
      <w:r w:rsidRPr="002D77C9">
        <w:rPr>
          <w:rFonts w:ascii="CIDFont+F2" w:hAnsi="CIDFont+F2" w:cs="CIDFont+F2"/>
          <w:i/>
          <w:iCs/>
          <w:kern w:val="0"/>
          <w:sz w:val="22"/>
          <w:szCs w:val="22"/>
        </w:rPr>
        <w:t xml:space="preserve">b) il pagamento delle somme di cui all’articolo 1, comma 231, della legge n. 197 del 2022, sulle quali sono dovuti gli interessi al tasso del 2 per cento annuo a decorrere dal 1° novembre 2023, è effettuato alternativamente: </w:t>
      </w:r>
    </w:p>
    <w:p w14:paraId="3069611E" w14:textId="77777777" w:rsidR="002D77C9" w:rsidRDefault="002D77C9" w:rsidP="002D77C9">
      <w:pPr>
        <w:pBdr>
          <w:top w:val="single" w:sz="4" w:space="1" w:color="auto"/>
          <w:left w:val="single" w:sz="4" w:space="4" w:color="auto"/>
          <w:bottom w:val="single" w:sz="4" w:space="1" w:color="auto"/>
          <w:right w:val="single" w:sz="4" w:space="4" w:color="auto"/>
        </w:pBdr>
        <w:spacing w:after="0"/>
        <w:jc w:val="both"/>
        <w:rPr>
          <w:rFonts w:ascii="CIDFont+F2" w:hAnsi="CIDFont+F2" w:cs="CIDFont+F2"/>
          <w:i/>
          <w:iCs/>
          <w:kern w:val="0"/>
          <w:sz w:val="22"/>
          <w:szCs w:val="22"/>
        </w:rPr>
      </w:pPr>
      <w:r w:rsidRPr="002D77C9">
        <w:rPr>
          <w:rFonts w:ascii="CIDFont+F2" w:hAnsi="CIDFont+F2" w:cs="CIDFont+F2"/>
          <w:i/>
          <w:iCs/>
          <w:kern w:val="0"/>
          <w:sz w:val="22"/>
          <w:szCs w:val="22"/>
        </w:rPr>
        <w:t xml:space="preserve">1) in unica soluzione, entro il 31 luglio 2025; </w:t>
      </w:r>
    </w:p>
    <w:p w14:paraId="2FD7FCBE" w14:textId="77777777" w:rsidR="002D77C9" w:rsidRDefault="002D77C9" w:rsidP="002D77C9">
      <w:pPr>
        <w:pBdr>
          <w:top w:val="single" w:sz="4" w:space="1" w:color="auto"/>
          <w:left w:val="single" w:sz="4" w:space="4" w:color="auto"/>
          <w:bottom w:val="single" w:sz="4" w:space="1" w:color="auto"/>
          <w:right w:val="single" w:sz="4" w:space="4" w:color="auto"/>
        </w:pBdr>
        <w:spacing w:after="0"/>
        <w:jc w:val="both"/>
        <w:rPr>
          <w:rFonts w:ascii="CIDFont+F2" w:hAnsi="CIDFont+F2" w:cs="CIDFont+F2"/>
          <w:i/>
          <w:iCs/>
          <w:kern w:val="0"/>
          <w:sz w:val="22"/>
          <w:szCs w:val="22"/>
        </w:rPr>
      </w:pPr>
      <w:r w:rsidRPr="002D77C9">
        <w:rPr>
          <w:rFonts w:ascii="CIDFont+F2" w:hAnsi="CIDFont+F2" w:cs="CIDFont+F2"/>
          <w:i/>
          <w:iCs/>
          <w:kern w:val="0"/>
          <w:sz w:val="22"/>
          <w:szCs w:val="22"/>
        </w:rPr>
        <w:t xml:space="preserve">2) nel numero massimo di dieci rate consecutive, di pari ammontare, con scadenza, rispettivamente, le prime due il 31 luglio e il 30 novembre 2025 e le successive il 28 febbraio, il 31 maggio, il 31 luglio e il 30 novembre degli anni 2026 e 2027; </w:t>
      </w:r>
    </w:p>
    <w:p w14:paraId="3573C716" w14:textId="55BF882D" w:rsidR="002D77C9" w:rsidRPr="002D77C9" w:rsidRDefault="002D77C9" w:rsidP="002D77C9">
      <w:pPr>
        <w:pBdr>
          <w:top w:val="single" w:sz="4" w:space="1" w:color="auto"/>
          <w:left w:val="single" w:sz="4" w:space="4" w:color="auto"/>
          <w:bottom w:val="single" w:sz="4" w:space="1" w:color="auto"/>
          <w:right w:val="single" w:sz="4" w:space="4" w:color="auto"/>
        </w:pBdr>
        <w:spacing w:after="0"/>
        <w:jc w:val="both"/>
        <w:rPr>
          <w:rFonts w:ascii="CIDFont+F2" w:hAnsi="CIDFont+F2" w:cs="CIDFont+F2"/>
          <w:i/>
          <w:iCs/>
          <w:kern w:val="0"/>
          <w:sz w:val="22"/>
          <w:szCs w:val="22"/>
        </w:rPr>
      </w:pPr>
      <w:r w:rsidRPr="002D77C9">
        <w:rPr>
          <w:rFonts w:ascii="CIDFont+F2" w:hAnsi="CIDFont+F2" w:cs="CIDFont+F2"/>
          <w:i/>
          <w:iCs/>
          <w:kern w:val="0"/>
          <w:sz w:val="22"/>
          <w:szCs w:val="22"/>
        </w:rPr>
        <w:t>c) l’ammontare complessivo delle somme dovute ai fini della definizione, nonché quello delle singole rate, e il giorno e il mese di scadenza di ciascuna di esse sono comunicati dall’agente della riscossione al debitore entro il 30 giugno 2025; d) gli effetti di cui alla lettera a) del comma 243 dell’articolo 1 della legge n. 197 del 2022 si determinano alla data del 31 luglio 2025.</w:t>
      </w:r>
    </w:p>
    <w:p w14:paraId="2259C5BA" w14:textId="77777777" w:rsidR="008B1A1B" w:rsidRDefault="008B1A1B" w:rsidP="00F034BC">
      <w:pPr>
        <w:spacing w:after="0"/>
        <w:jc w:val="both"/>
        <w:rPr>
          <w:rFonts w:ascii="CIDFont+F5" w:hAnsi="CIDFont+F5" w:cs="CIDFont+F5"/>
          <w:kern w:val="0"/>
          <w:sz w:val="22"/>
          <w:szCs w:val="22"/>
        </w:rPr>
      </w:pPr>
    </w:p>
    <w:p w14:paraId="224A140C" w14:textId="75D25D7F"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L’articolo 3-bis, introdotto in sede referente, prevede la riammissione alla procedura di definizione agevolata dei carichi affidati all’agente della riscossione dal 1° gennaio 2000 al 30 giugno 2022 (c.d. Rottamazione-quater), riconoscendo ai contribuenti la facoltà di adesione entro il 30 aprile 2025.</w:t>
      </w:r>
    </w:p>
    <w:p w14:paraId="0EEFDD3D"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La norma dispone, altresì, ulteriori differimenti in materia di dichiarazioni fiscali.</w:t>
      </w:r>
    </w:p>
    <w:p w14:paraId="067945D0" w14:textId="77777777" w:rsidR="0088088F" w:rsidRPr="002D77C9" w:rsidRDefault="0088088F" w:rsidP="002D77C9">
      <w:pPr>
        <w:autoSpaceDE w:val="0"/>
        <w:autoSpaceDN w:val="0"/>
        <w:adjustRightInd w:val="0"/>
        <w:spacing w:after="0" w:line="240" w:lineRule="auto"/>
        <w:jc w:val="center"/>
        <w:rPr>
          <w:rFonts w:ascii="CIDFont+F5" w:hAnsi="CIDFont+F5" w:cs="CIDFont+F5"/>
          <w:b/>
          <w:bCs/>
          <w:kern w:val="0"/>
          <w:sz w:val="22"/>
          <w:szCs w:val="22"/>
        </w:rPr>
      </w:pPr>
    </w:p>
    <w:p w14:paraId="1E2FAAAC" w14:textId="77777777" w:rsidR="00687168" w:rsidRDefault="00687168" w:rsidP="00E76549">
      <w:pPr>
        <w:autoSpaceDE w:val="0"/>
        <w:autoSpaceDN w:val="0"/>
        <w:adjustRightInd w:val="0"/>
        <w:spacing w:after="0" w:line="240" w:lineRule="auto"/>
        <w:jc w:val="both"/>
        <w:rPr>
          <w:rFonts w:ascii="CIDFont+F5" w:hAnsi="CIDFont+F5" w:cs="CIDFont+F5"/>
          <w:kern w:val="0"/>
          <w:sz w:val="22"/>
          <w:szCs w:val="22"/>
        </w:rPr>
      </w:pPr>
    </w:p>
    <w:p w14:paraId="1049886F" w14:textId="77777777" w:rsidR="008B1A1B" w:rsidRDefault="008B1A1B" w:rsidP="00E76549">
      <w:pPr>
        <w:autoSpaceDE w:val="0"/>
        <w:autoSpaceDN w:val="0"/>
        <w:adjustRightInd w:val="0"/>
        <w:spacing w:after="0" w:line="240" w:lineRule="auto"/>
        <w:jc w:val="both"/>
        <w:rPr>
          <w:rFonts w:ascii="CIDFont+F5" w:hAnsi="CIDFont+F5" w:cs="CIDFont+F5"/>
          <w:kern w:val="0"/>
          <w:sz w:val="22"/>
          <w:szCs w:val="22"/>
        </w:rPr>
      </w:pPr>
    </w:p>
    <w:p w14:paraId="5D1EE16B" w14:textId="77777777" w:rsidR="008B1A1B" w:rsidRDefault="008B1A1B" w:rsidP="00E76549">
      <w:pPr>
        <w:autoSpaceDE w:val="0"/>
        <w:autoSpaceDN w:val="0"/>
        <w:adjustRightInd w:val="0"/>
        <w:spacing w:after="0" w:line="240" w:lineRule="auto"/>
        <w:jc w:val="both"/>
        <w:rPr>
          <w:rFonts w:ascii="CIDFont+F5" w:hAnsi="CIDFont+F5" w:cs="CIDFont+F5"/>
          <w:kern w:val="0"/>
          <w:sz w:val="22"/>
          <w:szCs w:val="22"/>
        </w:rPr>
      </w:pPr>
    </w:p>
    <w:p w14:paraId="0717D496" w14:textId="77777777" w:rsidR="008B1A1B" w:rsidRDefault="008B1A1B" w:rsidP="00E76549">
      <w:pPr>
        <w:autoSpaceDE w:val="0"/>
        <w:autoSpaceDN w:val="0"/>
        <w:adjustRightInd w:val="0"/>
        <w:spacing w:after="0" w:line="240" w:lineRule="auto"/>
        <w:jc w:val="both"/>
        <w:rPr>
          <w:rFonts w:ascii="CIDFont+F5" w:hAnsi="CIDFont+F5" w:cs="CIDFont+F5"/>
          <w:kern w:val="0"/>
          <w:sz w:val="22"/>
          <w:szCs w:val="22"/>
        </w:rPr>
      </w:pPr>
    </w:p>
    <w:p w14:paraId="03E993E4" w14:textId="77777777" w:rsidR="008B1A1B" w:rsidRDefault="008B1A1B" w:rsidP="00E76549">
      <w:pPr>
        <w:autoSpaceDE w:val="0"/>
        <w:autoSpaceDN w:val="0"/>
        <w:adjustRightInd w:val="0"/>
        <w:spacing w:after="0" w:line="240" w:lineRule="auto"/>
        <w:jc w:val="both"/>
        <w:rPr>
          <w:rFonts w:ascii="CIDFont+F5" w:hAnsi="CIDFont+F5" w:cs="CIDFont+F5"/>
          <w:kern w:val="0"/>
          <w:sz w:val="22"/>
          <w:szCs w:val="22"/>
        </w:rPr>
      </w:pPr>
    </w:p>
    <w:p w14:paraId="224C0402" w14:textId="77777777" w:rsidR="008B1A1B" w:rsidRDefault="008B1A1B" w:rsidP="00E76549">
      <w:pPr>
        <w:autoSpaceDE w:val="0"/>
        <w:autoSpaceDN w:val="0"/>
        <w:adjustRightInd w:val="0"/>
        <w:spacing w:after="0" w:line="240" w:lineRule="auto"/>
        <w:jc w:val="both"/>
        <w:rPr>
          <w:rFonts w:ascii="CIDFont+F5" w:hAnsi="CIDFont+F5" w:cs="CIDFont+F5"/>
          <w:kern w:val="0"/>
          <w:sz w:val="22"/>
          <w:szCs w:val="22"/>
        </w:rPr>
      </w:pPr>
    </w:p>
    <w:p w14:paraId="6878DDA4" w14:textId="77777777" w:rsidR="008B1A1B" w:rsidRDefault="008B1A1B" w:rsidP="00E76549">
      <w:pPr>
        <w:autoSpaceDE w:val="0"/>
        <w:autoSpaceDN w:val="0"/>
        <w:adjustRightInd w:val="0"/>
        <w:spacing w:after="0" w:line="240" w:lineRule="auto"/>
        <w:jc w:val="both"/>
        <w:rPr>
          <w:rFonts w:ascii="CIDFont+F5" w:hAnsi="CIDFont+F5" w:cs="CIDFont+F5"/>
          <w:kern w:val="0"/>
          <w:sz w:val="22"/>
          <w:szCs w:val="22"/>
        </w:rPr>
      </w:pPr>
    </w:p>
    <w:p w14:paraId="309AB75D" w14:textId="77777777" w:rsidR="008B1A1B" w:rsidRDefault="008B1A1B" w:rsidP="00E76549">
      <w:pPr>
        <w:autoSpaceDE w:val="0"/>
        <w:autoSpaceDN w:val="0"/>
        <w:adjustRightInd w:val="0"/>
        <w:spacing w:after="0" w:line="240" w:lineRule="auto"/>
        <w:jc w:val="both"/>
        <w:rPr>
          <w:rFonts w:ascii="CIDFont+F5" w:hAnsi="CIDFont+F5" w:cs="CIDFont+F5"/>
          <w:kern w:val="0"/>
          <w:sz w:val="22"/>
          <w:szCs w:val="22"/>
        </w:rPr>
      </w:pPr>
    </w:p>
    <w:p w14:paraId="4D60C350" w14:textId="77777777" w:rsidR="008B1A1B" w:rsidRDefault="008B1A1B" w:rsidP="00E76549">
      <w:pPr>
        <w:autoSpaceDE w:val="0"/>
        <w:autoSpaceDN w:val="0"/>
        <w:adjustRightInd w:val="0"/>
        <w:spacing w:after="0" w:line="240" w:lineRule="auto"/>
        <w:jc w:val="both"/>
        <w:rPr>
          <w:rFonts w:ascii="CIDFont+F5" w:hAnsi="CIDFont+F5" w:cs="CIDFont+F5"/>
          <w:kern w:val="0"/>
          <w:sz w:val="22"/>
          <w:szCs w:val="22"/>
        </w:rPr>
      </w:pPr>
    </w:p>
    <w:p w14:paraId="546A203D" w14:textId="77777777" w:rsidR="008B1A1B" w:rsidRDefault="008B1A1B" w:rsidP="00E76549">
      <w:pPr>
        <w:autoSpaceDE w:val="0"/>
        <w:autoSpaceDN w:val="0"/>
        <w:adjustRightInd w:val="0"/>
        <w:spacing w:after="0" w:line="240" w:lineRule="auto"/>
        <w:jc w:val="both"/>
        <w:rPr>
          <w:rFonts w:ascii="CIDFont+F5" w:hAnsi="CIDFont+F5" w:cs="CIDFont+F5"/>
          <w:kern w:val="0"/>
          <w:sz w:val="22"/>
          <w:szCs w:val="22"/>
        </w:rPr>
      </w:pPr>
    </w:p>
    <w:p w14:paraId="3968D860" w14:textId="77777777" w:rsidR="008B1A1B" w:rsidRDefault="008B1A1B" w:rsidP="00E76549">
      <w:pPr>
        <w:autoSpaceDE w:val="0"/>
        <w:autoSpaceDN w:val="0"/>
        <w:adjustRightInd w:val="0"/>
        <w:spacing w:after="0" w:line="240" w:lineRule="auto"/>
        <w:jc w:val="both"/>
        <w:rPr>
          <w:rFonts w:ascii="CIDFont+F5" w:hAnsi="CIDFont+F5" w:cs="CIDFont+F5"/>
          <w:kern w:val="0"/>
          <w:sz w:val="22"/>
          <w:szCs w:val="22"/>
        </w:rPr>
      </w:pPr>
    </w:p>
    <w:p w14:paraId="13BDED91" w14:textId="77777777" w:rsidR="00F034BC" w:rsidRPr="00E76549" w:rsidRDefault="00F034BC" w:rsidP="00E76549">
      <w:pPr>
        <w:autoSpaceDE w:val="0"/>
        <w:autoSpaceDN w:val="0"/>
        <w:adjustRightInd w:val="0"/>
        <w:spacing w:after="0" w:line="240" w:lineRule="auto"/>
        <w:jc w:val="both"/>
        <w:rPr>
          <w:rFonts w:ascii="CIDFont+F5" w:hAnsi="CIDFont+F5" w:cs="CIDFont+F5"/>
          <w:kern w:val="0"/>
          <w:sz w:val="22"/>
          <w:szCs w:val="22"/>
        </w:rPr>
      </w:pPr>
    </w:p>
    <w:p w14:paraId="12593D81" w14:textId="0517BBFF" w:rsidR="00F034BC" w:rsidRDefault="00F034BC" w:rsidP="00F034BC">
      <w:pPr>
        <w:autoSpaceDE w:val="0"/>
        <w:autoSpaceDN w:val="0"/>
        <w:adjustRightInd w:val="0"/>
        <w:spacing w:after="0" w:line="240" w:lineRule="auto"/>
        <w:jc w:val="center"/>
        <w:rPr>
          <w:rFonts w:ascii="CIDFont+F5" w:hAnsi="CIDFont+F5" w:cs="CIDFont+F5"/>
          <w:b/>
          <w:bCs/>
          <w:kern w:val="0"/>
          <w:sz w:val="22"/>
          <w:szCs w:val="22"/>
        </w:rPr>
      </w:pPr>
      <w:r w:rsidRPr="002D77C9">
        <w:rPr>
          <w:rFonts w:ascii="CIDFont+F5" w:hAnsi="CIDFont+F5" w:cs="CIDFont+F5"/>
          <w:b/>
          <w:bCs/>
          <w:kern w:val="0"/>
          <w:sz w:val="22"/>
          <w:szCs w:val="22"/>
        </w:rPr>
        <w:t>Art. 5, commi 4 ter-4 quinquies</w:t>
      </w:r>
    </w:p>
    <w:p w14:paraId="795E4E2E" w14:textId="77777777" w:rsidR="00F034BC" w:rsidRDefault="00F034BC" w:rsidP="002D77C9">
      <w:pPr>
        <w:autoSpaceDE w:val="0"/>
        <w:autoSpaceDN w:val="0"/>
        <w:adjustRightInd w:val="0"/>
        <w:spacing w:after="0" w:line="240" w:lineRule="auto"/>
        <w:jc w:val="center"/>
        <w:rPr>
          <w:rFonts w:ascii="CIDFont+F5" w:hAnsi="CIDFont+F5" w:cs="CIDFont+F5"/>
          <w:b/>
          <w:bCs/>
          <w:kern w:val="0"/>
          <w:sz w:val="22"/>
          <w:szCs w:val="22"/>
        </w:rPr>
      </w:pPr>
      <w:r>
        <w:rPr>
          <w:rFonts w:ascii="CIDFont+F5" w:hAnsi="CIDFont+F5" w:cs="CIDFont+F5"/>
          <w:b/>
          <w:bCs/>
          <w:kern w:val="0"/>
          <w:sz w:val="22"/>
          <w:szCs w:val="22"/>
        </w:rPr>
        <w:t>(</w:t>
      </w:r>
      <w:r w:rsidR="00BA7CA3" w:rsidRPr="002D77C9">
        <w:rPr>
          <w:rFonts w:ascii="CIDFont+F5" w:hAnsi="CIDFont+F5" w:cs="CIDFont+F5"/>
          <w:b/>
          <w:bCs/>
          <w:kern w:val="0"/>
          <w:sz w:val="22"/>
          <w:szCs w:val="22"/>
        </w:rPr>
        <w:t>Proroga per gli interventi di adeguamento antincendio degli edifici scolastici</w:t>
      </w:r>
      <w:r w:rsidR="00687168" w:rsidRPr="002D77C9">
        <w:rPr>
          <w:rFonts w:ascii="CIDFont+F5" w:hAnsi="CIDFont+F5" w:cs="CIDFont+F5"/>
          <w:b/>
          <w:bCs/>
          <w:kern w:val="0"/>
          <w:sz w:val="22"/>
          <w:szCs w:val="22"/>
        </w:rPr>
        <w:t xml:space="preserve"> </w:t>
      </w:r>
      <w:r w:rsidR="00BA7CA3" w:rsidRPr="002D77C9">
        <w:rPr>
          <w:rFonts w:ascii="CIDFont+F5" w:hAnsi="CIDFont+F5" w:cs="CIDFont+F5"/>
          <w:b/>
          <w:bCs/>
          <w:kern w:val="0"/>
          <w:sz w:val="22"/>
          <w:szCs w:val="22"/>
        </w:rPr>
        <w:t>ed asili nido</w:t>
      </w:r>
      <w:r>
        <w:rPr>
          <w:rFonts w:ascii="CIDFont+F5" w:hAnsi="CIDFont+F5" w:cs="CIDFont+F5"/>
          <w:b/>
          <w:bCs/>
          <w:kern w:val="0"/>
          <w:sz w:val="22"/>
          <w:szCs w:val="22"/>
        </w:rPr>
        <w:t>)</w:t>
      </w:r>
    </w:p>
    <w:p w14:paraId="3986B1BF" w14:textId="31EA2616" w:rsidR="00BA7CA3" w:rsidRDefault="00BA7CA3" w:rsidP="002D77C9">
      <w:pPr>
        <w:autoSpaceDE w:val="0"/>
        <w:autoSpaceDN w:val="0"/>
        <w:adjustRightInd w:val="0"/>
        <w:spacing w:after="0" w:line="240" w:lineRule="auto"/>
        <w:jc w:val="center"/>
        <w:rPr>
          <w:rFonts w:ascii="CIDFont+F5" w:hAnsi="CIDFont+F5" w:cs="CIDFont+F5"/>
          <w:b/>
          <w:bCs/>
          <w:kern w:val="0"/>
          <w:sz w:val="22"/>
          <w:szCs w:val="22"/>
        </w:rPr>
      </w:pPr>
    </w:p>
    <w:p w14:paraId="70FCA3A8" w14:textId="77777777" w:rsidR="002D77C9" w:rsidRPr="00F034BC" w:rsidRDefault="002D77C9" w:rsidP="002D77C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IDFont+F5" w:hAnsi="CIDFont+F5" w:cs="CIDFont+F5"/>
          <w:i/>
          <w:iCs/>
          <w:kern w:val="0"/>
          <w:sz w:val="22"/>
          <w:szCs w:val="22"/>
        </w:rPr>
      </w:pPr>
      <w:r w:rsidRPr="00F034BC">
        <w:rPr>
          <w:rFonts w:ascii="CIDFont+F5" w:hAnsi="CIDFont+F5" w:cs="CIDFont+F5"/>
          <w:i/>
          <w:iCs/>
          <w:kern w:val="0"/>
          <w:sz w:val="22"/>
          <w:szCs w:val="22"/>
        </w:rPr>
        <w:t>4-ter. All’articolo 4 del decreto-legge 30 dicembre 2016, n. 244, convertito, con modificazioni, dalla legge 27 febbraio 2017, n. 19, sono apportate le seguenti modificazioni:</w:t>
      </w:r>
    </w:p>
    <w:p w14:paraId="271F53E7" w14:textId="77777777" w:rsidR="002D77C9" w:rsidRPr="00F034BC" w:rsidRDefault="002D77C9" w:rsidP="002D77C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IDFont+F5" w:hAnsi="CIDFont+F5" w:cs="CIDFont+F5"/>
          <w:i/>
          <w:iCs/>
          <w:kern w:val="0"/>
          <w:sz w:val="22"/>
          <w:szCs w:val="22"/>
        </w:rPr>
      </w:pPr>
      <w:r w:rsidRPr="00F034BC">
        <w:rPr>
          <w:rFonts w:ascii="CIDFont+F5" w:hAnsi="CIDFont+F5" w:cs="CIDFont+F5"/>
          <w:i/>
          <w:iCs/>
          <w:kern w:val="0"/>
          <w:sz w:val="22"/>
          <w:szCs w:val="22"/>
        </w:rPr>
        <w:t xml:space="preserve">a) al comma 2, le parole: </w:t>
      </w:r>
      <w:proofErr w:type="gramStart"/>
      <w:r w:rsidRPr="00F034BC">
        <w:rPr>
          <w:rFonts w:ascii="CIDFont+F5" w:hAnsi="CIDFont+F5" w:cs="CIDFont+F5"/>
          <w:i/>
          <w:iCs/>
          <w:kern w:val="0"/>
          <w:sz w:val="22"/>
          <w:szCs w:val="22"/>
        </w:rPr>
        <w:t>« al</w:t>
      </w:r>
      <w:proofErr w:type="gramEnd"/>
      <w:r w:rsidRPr="00F034BC">
        <w:rPr>
          <w:rFonts w:ascii="CIDFont+F5" w:hAnsi="CIDFont+F5" w:cs="CIDFont+F5"/>
          <w:i/>
          <w:iCs/>
          <w:kern w:val="0"/>
          <w:sz w:val="22"/>
          <w:szCs w:val="22"/>
        </w:rPr>
        <w:t xml:space="preserve"> 31 dicembre 2024 » sono sostituite dalle seguenti: « al 31 dicembre 2027 »;</w:t>
      </w:r>
    </w:p>
    <w:p w14:paraId="77E27FBC" w14:textId="77777777" w:rsidR="002D77C9" w:rsidRPr="00F034BC" w:rsidRDefault="002D77C9" w:rsidP="002D77C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IDFont+F5" w:hAnsi="CIDFont+F5" w:cs="CIDFont+F5"/>
          <w:i/>
          <w:iCs/>
          <w:kern w:val="0"/>
          <w:sz w:val="22"/>
          <w:szCs w:val="22"/>
        </w:rPr>
      </w:pPr>
      <w:r w:rsidRPr="00F034BC">
        <w:rPr>
          <w:rFonts w:ascii="CIDFont+F5" w:hAnsi="CIDFont+F5" w:cs="CIDFont+F5"/>
          <w:i/>
          <w:iCs/>
          <w:kern w:val="0"/>
          <w:sz w:val="22"/>
          <w:szCs w:val="22"/>
        </w:rPr>
        <w:t xml:space="preserve">b) al comma 2-bis, le parole: </w:t>
      </w:r>
      <w:proofErr w:type="gramStart"/>
      <w:r w:rsidRPr="00F034BC">
        <w:rPr>
          <w:rFonts w:ascii="CIDFont+F5" w:hAnsi="CIDFont+F5" w:cs="CIDFont+F5"/>
          <w:i/>
          <w:iCs/>
          <w:kern w:val="0"/>
          <w:sz w:val="22"/>
          <w:szCs w:val="22"/>
        </w:rPr>
        <w:t>« al</w:t>
      </w:r>
      <w:proofErr w:type="gramEnd"/>
      <w:r w:rsidRPr="00F034BC">
        <w:rPr>
          <w:rFonts w:ascii="CIDFont+F5" w:hAnsi="CIDFont+F5" w:cs="CIDFont+F5"/>
          <w:i/>
          <w:iCs/>
          <w:kern w:val="0"/>
          <w:sz w:val="22"/>
          <w:szCs w:val="22"/>
        </w:rPr>
        <w:t xml:space="preserve"> 31 dicembre 2024 » sono sostituite dalle seguenti: « al 31 dicembre 2027 »;</w:t>
      </w:r>
    </w:p>
    <w:p w14:paraId="474B3FB0" w14:textId="77777777" w:rsidR="002D77C9" w:rsidRPr="00F034BC" w:rsidRDefault="002D77C9" w:rsidP="002D77C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IDFont+F5" w:hAnsi="CIDFont+F5" w:cs="CIDFont+F5"/>
          <w:i/>
          <w:iCs/>
          <w:kern w:val="0"/>
          <w:sz w:val="22"/>
          <w:szCs w:val="22"/>
        </w:rPr>
      </w:pPr>
      <w:r w:rsidRPr="00F034BC">
        <w:rPr>
          <w:rFonts w:ascii="CIDFont+F5" w:hAnsi="CIDFont+F5" w:cs="CIDFont+F5"/>
          <w:i/>
          <w:iCs/>
          <w:kern w:val="0"/>
          <w:sz w:val="22"/>
          <w:szCs w:val="22"/>
        </w:rPr>
        <w:t xml:space="preserve">c) al comma 2-ter, le parole: </w:t>
      </w:r>
      <w:proofErr w:type="gramStart"/>
      <w:r w:rsidRPr="00F034BC">
        <w:rPr>
          <w:rFonts w:ascii="CIDFont+F5" w:hAnsi="CIDFont+F5" w:cs="CIDFont+F5"/>
          <w:i/>
          <w:iCs/>
          <w:kern w:val="0"/>
          <w:sz w:val="22"/>
          <w:szCs w:val="22"/>
        </w:rPr>
        <w:t>« al</w:t>
      </w:r>
      <w:proofErr w:type="gramEnd"/>
      <w:r w:rsidRPr="00F034BC">
        <w:rPr>
          <w:rFonts w:ascii="CIDFont+F5" w:hAnsi="CIDFont+F5" w:cs="CIDFont+F5"/>
          <w:i/>
          <w:iCs/>
          <w:kern w:val="0"/>
          <w:sz w:val="22"/>
          <w:szCs w:val="22"/>
        </w:rPr>
        <w:t xml:space="preserve"> 31 dicembre 2024 » sono sostituite dalle seguenti: « al 31 dicembre 2027 ». 4-quater. Con decreto del Ministro dell’interno, di concerto con il Ministro dell’istruzione e del merito e il Ministro dell’università e della ricerca, sentita la Conferenza unificata di cui all’articolo 8 del decreto legislativo 28 agosto 1997, n. 281, da adottare entro sessanta giorni dalla data di entrata in vigore della legge di conver- sione del presente decreto, sono definite le misure gestionali di mitigazione del rischio, previste sino al completamento dei lavori di adeguamento, nonché le scadenze differenziate per il completamento dei lavori di adeguamento a fasi successive.</w:t>
      </w:r>
    </w:p>
    <w:p w14:paraId="3EACEEA2" w14:textId="0B4B9CFD" w:rsidR="00F034BC" w:rsidRDefault="002D77C9" w:rsidP="00F034B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IDFont+F5" w:hAnsi="CIDFont+F5" w:cs="CIDFont+F5"/>
          <w:kern w:val="0"/>
          <w:sz w:val="22"/>
          <w:szCs w:val="22"/>
        </w:rPr>
      </w:pPr>
      <w:r w:rsidRPr="00F034BC">
        <w:rPr>
          <w:rFonts w:ascii="CIDFont+F5" w:hAnsi="CIDFont+F5" w:cs="CIDFont+F5"/>
          <w:i/>
          <w:iCs/>
          <w:kern w:val="0"/>
          <w:sz w:val="22"/>
          <w:szCs w:val="22"/>
        </w:rPr>
        <w:t>4-quinquies. Il termine previsto per l’adozione del decreto del Ministro dell’istruzione e del merito, di concerto con il Ministro del lavoro e delle politiche sociali, sentita la Conferenza Stato-città ed autonomie locali, che definisce le modalità di valutazione congiunta dei rischi connessi agli edifici scolastici di cui all’articolo 18, comma 3.2, del decreto legislativo 9 aprile 2008, n. 81, è prorogato al 31 dicembre2025</w:t>
      </w:r>
      <w:r w:rsidRPr="00E76549">
        <w:rPr>
          <w:rFonts w:ascii="CIDFont+F5" w:hAnsi="CIDFont+F5" w:cs="CIDFont+F5"/>
          <w:kern w:val="0"/>
          <w:sz w:val="22"/>
          <w:szCs w:val="22"/>
        </w:rPr>
        <w:t>.</w:t>
      </w:r>
      <w:r w:rsidRPr="00E76549">
        <w:rPr>
          <w:rFonts w:ascii="CIDFont+F5" w:hAnsi="CIDFont+F5" w:cs="CIDFont+F5"/>
          <w:kern w:val="0"/>
          <w:sz w:val="22"/>
          <w:szCs w:val="22"/>
        </w:rPr>
        <w:cr/>
      </w:r>
    </w:p>
    <w:p w14:paraId="586BD899" w14:textId="77777777" w:rsidR="00CF6AB0" w:rsidRDefault="00CF6AB0" w:rsidP="00E76549">
      <w:pPr>
        <w:autoSpaceDE w:val="0"/>
        <w:autoSpaceDN w:val="0"/>
        <w:adjustRightInd w:val="0"/>
        <w:spacing w:after="0" w:line="240" w:lineRule="auto"/>
        <w:jc w:val="both"/>
        <w:rPr>
          <w:rFonts w:ascii="CIDFont+F5" w:hAnsi="CIDFont+F5" w:cs="CIDFont+F5"/>
          <w:kern w:val="0"/>
          <w:sz w:val="22"/>
          <w:szCs w:val="22"/>
        </w:rPr>
      </w:pPr>
    </w:p>
    <w:p w14:paraId="0BF633A8" w14:textId="6A5BA23C" w:rsidR="00BA7CA3" w:rsidRDefault="00BA7CA3" w:rsidP="00E76549">
      <w:pPr>
        <w:autoSpaceDE w:val="0"/>
        <w:autoSpaceDN w:val="0"/>
        <w:adjustRightInd w:val="0"/>
        <w:spacing w:after="0" w:line="240" w:lineRule="auto"/>
        <w:jc w:val="both"/>
        <w:rPr>
          <w:rFonts w:ascii="CIDFont+F5" w:hAnsi="CIDFont+F5" w:cs="CIDFont+F5"/>
          <w:kern w:val="0"/>
          <w:sz w:val="22"/>
          <w:szCs w:val="22"/>
        </w:rPr>
      </w:pPr>
      <w:r w:rsidRPr="00E76549">
        <w:rPr>
          <w:rFonts w:ascii="CIDFont+F5" w:hAnsi="CIDFont+F5" w:cs="CIDFont+F5"/>
          <w:kern w:val="0"/>
          <w:sz w:val="22"/>
          <w:szCs w:val="22"/>
        </w:rPr>
        <w:t xml:space="preserve">La norma </w:t>
      </w:r>
      <w:r w:rsidR="00687168" w:rsidRPr="00E76549">
        <w:rPr>
          <w:rFonts w:ascii="CIDFont+F5" w:hAnsi="CIDFont+F5" w:cs="CIDFont+F5"/>
          <w:kern w:val="0"/>
          <w:sz w:val="22"/>
          <w:szCs w:val="22"/>
        </w:rPr>
        <w:t>consente la proroga</w:t>
      </w:r>
      <w:r w:rsidRPr="00E76549">
        <w:rPr>
          <w:rFonts w:ascii="CIDFont+F5" w:hAnsi="CIDFont+F5" w:cs="CIDFont+F5"/>
          <w:kern w:val="0"/>
          <w:sz w:val="22"/>
          <w:szCs w:val="22"/>
        </w:rPr>
        <w:t xml:space="preserve"> al 31 dicembre 2027 per l’adeguamento alla</w:t>
      </w:r>
      <w:r w:rsidR="00687168" w:rsidRPr="00E76549">
        <w:rPr>
          <w:rFonts w:ascii="CIDFont+F5" w:hAnsi="CIDFont+F5" w:cs="CIDFont+F5"/>
          <w:kern w:val="0"/>
          <w:sz w:val="22"/>
          <w:szCs w:val="22"/>
        </w:rPr>
        <w:t xml:space="preserve"> </w:t>
      </w:r>
      <w:r w:rsidRPr="00E76549">
        <w:rPr>
          <w:rFonts w:ascii="CIDFont+F5" w:hAnsi="CIDFont+F5" w:cs="CIDFont+F5"/>
          <w:kern w:val="0"/>
          <w:sz w:val="22"/>
          <w:szCs w:val="22"/>
        </w:rPr>
        <w:t>normativa antincendio degli edifici scolastici, dei locali adibiti a scuola e degli asili</w:t>
      </w:r>
      <w:r w:rsidR="00687168" w:rsidRPr="00E76549">
        <w:rPr>
          <w:rFonts w:ascii="CIDFont+F5" w:hAnsi="CIDFont+F5" w:cs="CIDFont+F5"/>
          <w:kern w:val="0"/>
          <w:sz w:val="22"/>
          <w:szCs w:val="22"/>
        </w:rPr>
        <w:t xml:space="preserve"> </w:t>
      </w:r>
      <w:r w:rsidRPr="00E76549">
        <w:rPr>
          <w:rFonts w:ascii="CIDFont+F5" w:hAnsi="CIDFont+F5" w:cs="CIDFont+F5"/>
          <w:kern w:val="0"/>
          <w:sz w:val="22"/>
          <w:szCs w:val="22"/>
        </w:rPr>
        <w:t xml:space="preserve">nido. </w:t>
      </w:r>
    </w:p>
    <w:p w14:paraId="7B2C73FF" w14:textId="77777777" w:rsidR="00CF6AB0" w:rsidRPr="00E76549" w:rsidRDefault="00CF6AB0" w:rsidP="00E76549">
      <w:pPr>
        <w:autoSpaceDE w:val="0"/>
        <w:autoSpaceDN w:val="0"/>
        <w:adjustRightInd w:val="0"/>
        <w:spacing w:after="0" w:line="240" w:lineRule="auto"/>
        <w:jc w:val="both"/>
        <w:rPr>
          <w:rFonts w:ascii="CIDFont+F5" w:hAnsi="CIDFont+F5" w:cs="CIDFont+F5"/>
          <w:kern w:val="0"/>
          <w:sz w:val="22"/>
          <w:szCs w:val="22"/>
        </w:rPr>
      </w:pPr>
    </w:p>
    <w:p w14:paraId="1857DC3B" w14:textId="41FFD25C" w:rsidR="000C53E8" w:rsidRDefault="000C53E8" w:rsidP="00E76549">
      <w:pPr>
        <w:autoSpaceDE w:val="0"/>
        <w:autoSpaceDN w:val="0"/>
        <w:adjustRightInd w:val="0"/>
        <w:spacing w:after="0" w:line="240" w:lineRule="auto"/>
        <w:jc w:val="both"/>
        <w:rPr>
          <w:rFonts w:ascii="CIDFont+F5" w:hAnsi="CIDFont+F5" w:cs="CIDFont+F5"/>
          <w:kern w:val="0"/>
          <w:sz w:val="22"/>
          <w:szCs w:val="22"/>
        </w:rPr>
      </w:pPr>
      <w:r w:rsidRPr="00E76549">
        <w:rPr>
          <w:rFonts w:ascii="CIDFont+F5" w:hAnsi="CIDFont+F5" w:cs="CIDFont+F5"/>
          <w:kern w:val="0"/>
          <w:sz w:val="22"/>
          <w:szCs w:val="22"/>
        </w:rPr>
        <w:t xml:space="preserve">Con decreto del Ministro dell'interno, di concerto con il Ministro dell'istruzione e del merito e il Ministro dell'università e della ricerca, sentita la Conferenza unificata da adottare entro 60 giorni dalla data di entrata in vigore della presente disposizione, sono definite le misure gestionali di mitigazione del rischio, previste sino al completamento dei lavori di adeguamento, nonché le scadenze differenziate per il completamento dei lavori di adeguamento a fasi successive. </w:t>
      </w:r>
    </w:p>
    <w:p w14:paraId="3C2E0821" w14:textId="77777777" w:rsidR="008B1A1B" w:rsidRDefault="008B1A1B" w:rsidP="00E76549">
      <w:pPr>
        <w:autoSpaceDE w:val="0"/>
        <w:autoSpaceDN w:val="0"/>
        <w:adjustRightInd w:val="0"/>
        <w:spacing w:after="0" w:line="240" w:lineRule="auto"/>
        <w:jc w:val="both"/>
        <w:rPr>
          <w:rFonts w:ascii="CIDFont+F5" w:hAnsi="CIDFont+F5" w:cs="CIDFont+F5"/>
          <w:kern w:val="0"/>
          <w:sz w:val="22"/>
          <w:szCs w:val="22"/>
        </w:rPr>
      </w:pPr>
    </w:p>
    <w:p w14:paraId="49DFD188" w14:textId="77777777" w:rsidR="008B1A1B" w:rsidRDefault="008B1A1B" w:rsidP="00E76549">
      <w:pPr>
        <w:autoSpaceDE w:val="0"/>
        <w:autoSpaceDN w:val="0"/>
        <w:adjustRightInd w:val="0"/>
        <w:spacing w:after="0" w:line="240" w:lineRule="auto"/>
        <w:jc w:val="both"/>
        <w:rPr>
          <w:rFonts w:ascii="CIDFont+F5" w:hAnsi="CIDFont+F5" w:cs="CIDFont+F5"/>
          <w:kern w:val="0"/>
          <w:sz w:val="22"/>
          <w:szCs w:val="22"/>
        </w:rPr>
      </w:pPr>
    </w:p>
    <w:p w14:paraId="1151D1CE" w14:textId="77777777" w:rsidR="008B1A1B" w:rsidRDefault="008B1A1B" w:rsidP="00E76549">
      <w:pPr>
        <w:autoSpaceDE w:val="0"/>
        <w:autoSpaceDN w:val="0"/>
        <w:adjustRightInd w:val="0"/>
        <w:spacing w:after="0" w:line="240" w:lineRule="auto"/>
        <w:jc w:val="both"/>
        <w:rPr>
          <w:rFonts w:ascii="CIDFont+F5" w:hAnsi="CIDFont+F5" w:cs="CIDFont+F5"/>
          <w:kern w:val="0"/>
          <w:sz w:val="22"/>
          <w:szCs w:val="22"/>
        </w:rPr>
      </w:pPr>
    </w:p>
    <w:p w14:paraId="6128B179" w14:textId="77777777" w:rsidR="008B1A1B" w:rsidRDefault="008B1A1B" w:rsidP="00E76549">
      <w:pPr>
        <w:autoSpaceDE w:val="0"/>
        <w:autoSpaceDN w:val="0"/>
        <w:adjustRightInd w:val="0"/>
        <w:spacing w:after="0" w:line="240" w:lineRule="auto"/>
        <w:jc w:val="both"/>
        <w:rPr>
          <w:rFonts w:ascii="CIDFont+F5" w:hAnsi="CIDFont+F5" w:cs="CIDFont+F5"/>
          <w:kern w:val="0"/>
          <w:sz w:val="22"/>
          <w:szCs w:val="22"/>
        </w:rPr>
      </w:pPr>
    </w:p>
    <w:p w14:paraId="75C0D891" w14:textId="77777777" w:rsidR="008B1A1B" w:rsidRDefault="008B1A1B" w:rsidP="00E76549">
      <w:pPr>
        <w:autoSpaceDE w:val="0"/>
        <w:autoSpaceDN w:val="0"/>
        <w:adjustRightInd w:val="0"/>
        <w:spacing w:after="0" w:line="240" w:lineRule="auto"/>
        <w:jc w:val="both"/>
        <w:rPr>
          <w:rFonts w:ascii="CIDFont+F5" w:hAnsi="CIDFont+F5" w:cs="CIDFont+F5"/>
          <w:kern w:val="0"/>
          <w:sz w:val="22"/>
          <w:szCs w:val="22"/>
        </w:rPr>
      </w:pPr>
    </w:p>
    <w:p w14:paraId="1724D7B3" w14:textId="77777777" w:rsidR="008B1A1B" w:rsidRDefault="008B1A1B" w:rsidP="00E76549">
      <w:pPr>
        <w:autoSpaceDE w:val="0"/>
        <w:autoSpaceDN w:val="0"/>
        <w:adjustRightInd w:val="0"/>
        <w:spacing w:after="0" w:line="240" w:lineRule="auto"/>
        <w:jc w:val="both"/>
        <w:rPr>
          <w:rFonts w:ascii="CIDFont+F5" w:hAnsi="CIDFont+F5" w:cs="CIDFont+F5"/>
          <w:kern w:val="0"/>
          <w:sz w:val="22"/>
          <w:szCs w:val="22"/>
        </w:rPr>
      </w:pPr>
    </w:p>
    <w:p w14:paraId="1F74CA1E" w14:textId="77777777" w:rsidR="008B1A1B" w:rsidRDefault="008B1A1B" w:rsidP="00E76549">
      <w:pPr>
        <w:autoSpaceDE w:val="0"/>
        <w:autoSpaceDN w:val="0"/>
        <w:adjustRightInd w:val="0"/>
        <w:spacing w:after="0" w:line="240" w:lineRule="auto"/>
        <w:jc w:val="both"/>
        <w:rPr>
          <w:rFonts w:ascii="CIDFont+F5" w:hAnsi="CIDFont+F5" w:cs="CIDFont+F5"/>
          <w:kern w:val="0"/>
          <w:sz w:val="22"/>
          <w:szCs w:val="22"/>
        </w:rPr>
      </w:pPr>
    </w:p>
    <w:p w14:paraId="203BF14F" w14:textId="77777777" w:rsidR="008B1A1B" w:rsidRDefault="008B1A1B" w:rsidP="00E76549">
      <w:pPr>
        <w:autoSpaceDE w:val="0"/>
        <w:autoSpaceDN w:val="0"/>
        <w:adjustRightInd w:val="0"/>
        <w:spacing w:after="0" w:line="240" w:lineRule="auto"/>
        <w:jc w:val="both"/>
        <w:rPr>
          <w:rFonts w:ascii="CIDFont+F5" w:hAnsi="CIDFont+F5" w:cs="CIDFont+F5"/>
          <w:kern w:val="0"/>
          <w:sz w:val="22"/>
          <w:szCs w:val="22"/>
        </w:rPr>
      </w:pPr>
    </w:p>
    <w:p w14:paraId="764EACD4" w14:textId="77777777" w:rsidR="008B1A1B" w:rsidRDefault="008B1A1B" w:rsidP="00E76549">
      <w:pPr>
        <w:autoSpaceDE w:val="0"/>
        <w:autoSpaceDN w:val="0"/>
        <w:adjustRightInd w:val="0"/>
        <w:spacing w:after="0" w:line="240" w:lineRule="auto"/>
        <w:jc w:val="both"/>
        <w:rPr>
          <w:rFonts w:ascii="CIDFont+F5" w:hAnsi="CIDFont+F5" w:cs="CIDFont+F5"/>
          <w:kern w:val="0"/>
          <w:sz w:val="22"/>
          <w:szCs w:val="22"/>
        </w:rPr>
      </w:pPr>
    </w:p>
    <w:p w14:paraId="696C74B7" w14:textId="77777777" w:rsidR="008B1A1B" w:rsidRDefault="008B1A1B" w:rsidP="00E76549">
      <w:pPr>
        <w:autoSpaceDE w:val="0"/>
        <w:autoSpaceDN w:val="0"/>
        <w:adjustRightInd w:val="0"/>
        <w:spacing w:after="0" w:line="240" w:lineRule="auto"/>
        <w:jc w:val="both"/>
        <w:rPr>
          <w:rFonts w:ascii="CIDFont+F5" w:hAnsi="CIDFont+F5" w:cs="CIDFont+F5"/>
          <w:kern w:val="0"/>
          <w:sz w:val="22"/>
          <w:szCs w:val="22"/>
        </w:rPr>
      </w:pPr>
    </w:p>
    <w:p w14:paraId="577C36DD" w14:textId="77777777" w:rsidR="008B1A1B" w:rsidRDefault="008B1A1B" w:rsidP="00E76549">
      <w:pPr>
        <w:autoSpaceDE w:val="0"/>
        <w:autoSpaceDN w:val="0"/>
        <w:adjustRightInd w:val="0"/>
        <w:spacing w:after="0" w:line="240" w:lineRule="auto"/>
        <w:jc w:val="both"/>
        <w:rPr>
          <w:rFonts w:ascii="CIDFont+F5" w:hAnsi="CIDFont+F5" w:cs="CIDFont+F5"/>
          <w:kern w:val="0"/>
          <w:sz w:val="22"/>
          <w:szCs w:val="22"/>
        </w:rPr>
      </w:pPr>
    </w:p>
    <w:p w14:paraId="7EE76501" w14:textId="77777777" w:rsidR="008B1A1B" w:rsidRDefault="008B1A1B" w:rsidP="00E76549">
      <w:pPr>
        <w:autoSpaceDE w:val="0"/>
        <w:autoSpaceDN w:val="0"/>
        <w:adjustRightInd w:val="0"/>
        <w:spacing w:after="0" w:line="240" w:lineRule="auto"/>
        <w:jc w:val="both"/>
        <w:rPr>
          <w:rFonts w:ascii="CIDFont+F5" w:hAnsi="CIDFont+F5" w:cs="CIDFont+F5"/>
          <w:kern w:val="0"/>
          <w:sz w:val="22"/>
          <w:szCs w:val="22"/>
        </w:rPr>
      </w:pPr>
    </w:p>
    <w:p w14:paraId="3551387F" w14:textId="77777777" w:rsidR="008B1A1B" w:rsidRDefault="008B1A1B" w:rsidP="00E76549">
      <w:pPr>
        <w:autoSpaceDE w:val="0"/>
        <w:autoSpaceDN w:val="0"/>
        <w:adjustRightInd w:val="0"/>
        <w:spacing w:after="0" w:line="240" w:lineRule="auto"/>
        <w:jc w:val="both"/>
        <w:rPr>
          <w:rFonts w:ascii="CIDFont+F5" w:hAnsi="CIDFont+F5" w:cs="CIDFont+F5"/>
          <w:kern w:val="0"/>
          <w:sz w:val="22"/>
          <w:szCs w:val="22"/>
        </w:rPr>
      </w:pPr>
    </w:p>
    <w:p w14:paraId="488CC88F" w14:textId="77777777" w:rsidR="008B1A1B" w:rsidRDefault="008B1A1B" w:rsidP="00E76549">
      <w:pPr>
        <w:autoSpaceDE w:val="0"/>
        <w:autoSpaceDN w:val="0"/>
        <w:adjustRightInd w:val="0"/>
        <w:spacing w:after="0" w:line="240" w:lineRule="auto"/>
        <w:jc w:val="both"/>
        <w:rPr>
          <w:rFonts w:ascii="CIDFont+F5" w:hAnsi="CIDFont+F5" w:cs="CIDFont+F5"/>
          <w:kern w:val="0"/>
          <w:sz w:val="22"/>
          <w:szCs w:val="22"/>
        </w:rPr>
      </w:pPr>
    </w:p>
    <w:p w14:paraId="29F859F7" w14:textId="77777777" w:rsidR="008B1A1B" w:rsidRDefault="008B1A1B" w:rsidP="00E76549">
      <w:pPr>
        <w:autoSpaceDE w:val="0"/>
        <w:autoSpaceDN w:val="0"/>
        <w:adjustRightInd w:val="0"/>
        <w:spacing w:after="0" w:line="240" w:lineRule="auto"/>
        <w:jc w:val="both"/>
        <w:rPr>
          <w:rFonts w:ascii="CIDFont+F5" w:hAnsi="CIDFont+F5" w:cs="CIDFont+F5"/>
          <w:kern w:val="0"/>
          <w:sz w:val="22"/>
          <w:szCs w:val="22"/>
        </w:rPr>
      </w:pPr>
    </w:p>
    <w:p w14:paraId="1329319C" w14:textId="77777777" w:rsidR="008B1A1B" w:rsidRDefault="008B1A1B" w:rsidP="00E76549">
      <w:pPr>
        <w:autoSpaceDE w:val="0"/>
        <w:autoSpaceDN w:val="0"/>
        <w:adjustRightInd w:val="0"/>
        <w:spacing w:after="0" w:line="240" w:lineRule="auto"/>
        <w:jc w:val="both"/>
        <w:rPr>
          <w:rFonts w:ascii="CIDFont+F5" w:hAnsi="CIDFont+F5" w:cs="CIDFont+F5"/>
          <w:kern w:val="0"/>
          <w:sz w:val="22"/>
          <w:szCs w:val="22"/>
        </w:rPr>
      </w:pPr>
    </w:p>
    <w:p w14:paraId="553A2585" w14:textId="77777777" w:rsidR="008B1A1B" w:rsidRDefault="008B1A1B" w:rsidP="00E76549">
      <w:pPr>
        <w:autoSpaceDE w:val="0"/>
        <w:autoSpaceDN w:val="0"/>
        <w:adjustRightInd w:val="0"/>
        <w:spacing w:after="0" w:line="240" w:lineRule="auto"/>
        <w:jc w:val="both"/>
        <w:rPr>
          <w:rFonts w:ascii="CIDFont+F5" w:hAnsi="CIDFont+F5" w:cs="CIDFont+F5"/>
          <w:kern w:val="0"/>
          <w:sz w:val="22"/>
          <w:szCs w:val="22"/>
        </w:rPr>
      </w:pPr>
    </w:p>
    <w:p w14:paraId="47A9196F" w14:textId="77777777" w:rsidR="008B1A1B" w:rsidRDefault="008B1A1B" w:rsidP="00E76549">
      <w:pPr>
        <w:autoSpaceDE w:val="0"/>
        <w:autoSpaceDN w:val="0"/>
        <w:adjustRightInd w:val="0"/>
        <w:spacing w:after="0" w:line="240" w:lineRule="auto"/>
        <w:jc w:val="both"/>
        <w:rPr>
          <w:rFonts w:ascii="CIDFont+F5" w:hAnsi="CIDFont+F5" w:cs="CIDFont+F5"/>
          <w:kern w:val="0"/>
          <w:sz w:val="22"/>
          <w:szCs w:val="22"/>
        </w:rPr>
      </w:pPr>
    </w:p>
    <w:p w14:paraId="3473135C" w14:textId="395DCF71" w:rsidR="00631B97" w:rsidRDefault="00631B97" w:rsidP="002D77C9">
      <w:pPr>
        <w:autoSpaceDE w:val="0"/>
        <w:autoSpaceDN w:val="0"/>
        <w:adjustRightInd w:val="0"/>
        <w:spacing w:after="0" w:line="240" w:lineRule="auto"/>
        <w:jc w:val="center"/>
        <w:rPr>
          <w:rFonts w:ascii="CIDFont+F5" w:hAnsi="CIDFont+F5" w:cs="CIDFont+F5"/>
          <w:b/>
          <w:bCs/>
          <w:kern w:val="0"/>
          <w:sz w:val="22"/>
          <w:szCs w:val="22"/>
        </w:rPr>
      </w:pPr>
      <w:r>
        <w:rPr>
          <w:rFonts w:ascii="CIDFont+F5" w:hAnsi="CIDFont+F5" w:cs="CIDFont+F5"/>
          <w:b/>
          <w:bCs/>
          <w:kern w:val="0"/>
          <w:sz w:val="22"/>
          <w:szCs w:val="22"/>
        </w:rPr>
        <w:lastRenderedPageBreak/>
        <w:t>A</w:t>
      </w:r>
      <w:r w:rsidRPr="002D77C9">
        <w:rPr>
          <w:rFonts w:ascii="CIDFont+F5" w:hAnsi="CIDFont+F5" w:cs="CIDFont+F5"/>
          <w:b/>
          <w:bCs/>
          <w:kern w:val="0"/>
          <w:sz w:val="22"/>
          <w:szCs w:val="22"/>
        </w:rPr>
        <w:t>rt. 7 comma 4-septies</w:t>
      </w:r>
    </w:p>
    <w:p w14:paraId="252383F4" w14:textId="09E9860B" w:rsidR="00E8419F" w:rsidRDefault="00631B97" w:rsidP="002D77C9">
      <w:pPr>
        <w:autoSpaceDE w:val="0"/>
        <w:autoSpaceDN w:val="0"/>
        <w:adjustRightInd w:val="0"/>
        <w:spacing w:after="0" w:line="240" w:lineRule="auto"/>
        <w:jc w:val="center"/>
        <w:rPr>
          <w:rFonts w:ascii="CIDFont+F5" w:hAnsi="CIDFont+F5" w:cs="CIDFont+F5"/>
          <w:b/>
          <w:bCs/>
          <w:kern w:val="0"/>
          <w:sz w:val="22"/>
          <w:szCs w:val="22"/>
        </w:rPr>
      </w:pPr>
      <w:r>
        <w:rPr>
          <w:rFonts w:ascii="CIDFont+F5" w:hAnsi="CIDFont+F5" w:cs="CIDFont+F5"/>
          <w:b/>
          <w:bCs/>
          <w:kern w:val="0"/>
          <w:sz w:val="22"/>
          <w:szCs w:val="22"/>
        </w:rPr>
        <w:t>(</w:t>
      </w:r>
      <w:r w:rsidR="00E8419F" w:rsidRPr="002D77C9">
        <w:rPr>
          <w:rFonts w:ascii="CIDFont+F5" w:hAnsi="CIDFont+F5" w:cs="CIDFont+F5"/>
          <w:b/>
          <w:bCs/>
          <w:kern w:val="0"/>
          <w:sz w:val="22"/>
          <w:szCs w:val="22"/>
        </w:rPr>
        <w:t>Proroga in materia di trasporti in condizioni di eccezionalità</w:t>
      </w:r>
      <w:r>
        <w:rPr>
          <w:rFonts w:ascii="CIDFont+F5" w:hAnsi="CIDFont+F5" w:cs="CIDFont+F5"/>
          <w:b/>
          <w:bCs/>
          <w:kern w:val="0"/>
          <w:sz w:val="22"/>
          <w:szCs w:val="22"/>
        </w:rPr>
        <w:t>)</w:t>
      </w:r>
    </w:p>
    <w:p w14:paraId="6B862EBB" w14:textId="77777777" w:rsidR="002D77C9" w:rsidRPr="00F034BC" w:rsidRDefault="002D77C9" w:rsidP="002D77C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IDFont+F5" w:hAnsi="CIDFont+F5" w:cs="CIDFont+F5"/>
          <w:i/>
          <w:iCs/>
          <w:kern w:val="0"/>
          <w:sz w:val="22"/>
          <w:szCs w:val="22"/>
        </w:rPr>
      </w:pPr>
      <w:r w:rsidRPr="00F034BC">
        <w:rPr>
          <w:rFonts w:ascii="CIDFont+F5" w:hAnsi="CIDFont+F5" w:cs="CIDFont+F5"/>
          <w:i/>
          <w:iCs/>
          <w:kern w:val="0"/>
          <w:sz w:val="22"/>
          <w:szCs w:val="22"/>
        </w:rPr>
        <w:t>4-septies. All’articolo 7-bis del decreto legge 21 ottobre 2021, n. 146, convertito, con modificazioni, dalla legge 17 dicembre 2021, n. 215, sono apportate le seguenti modificazioni: a) al comma 2, primo periodo: 1) le parole: « 30 marzo 2025 » sono sostituite dalle seguenti: « 30 marzo 2026 »; 2) le parole: « , al fine di semplificare la disciplina transitoria disposta dalle linee guida, adottate con il medesimo decreto, sui trasporti in condizione di eccezionalità, relativa alle verifiche di sicurezza per il transito dei mezzi fino a 86 tonnellate » sono soppresse; b) al comma 2, il secondo periodo è sostituito dal seguente: « Fino alla medesima data continua ad applicarsi, ai trasporti in condizioni di eccezionalità, la disciplina di cui all’articolo 10, comma 10, del codice di cui al decreto legislativo 30 aprile 1992, n. 285, nonché, ai trasporti in condizioni di eccezionalità per massa complessiva oltre le 86 tonnellate effettuati mediante complessi di veicoli con meno di otto assi, la disciplina transitoria sulle eventuali misure, anche di natura organizzativa o gestionale, di mitigazione del rischio applicabili di cui all’articolo 10, comma 10- bis, lettera b-bis), del medesimo codice »; c) al comma 2-bis, le parole: « entro il 30 ottobre 2024 » sono sostituite dalle seguenti: « entro il 31 dicembre 2025 »</w:t>
      </w:r>
    </w:p>
    <w:p w14:paraId="6CF1A421"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Il comma in titolo, introdotto in sede referente, interviene sulla disciplina dell'art. 7-bis del decreto-legge 21 ottobre 2021, n. 146, contenente disposizioni urgenti in materia di trasporti in condizioni di eccezionalità prevedendo che il termine originariamente fissato al 30 marzo 2025 per la sospensione dell'efficacia delle disposizioni contenute nel decreto di cui all'articolo 10, comma 10-bis, del codice della strada, venga posticipato al 30 marzo 2026. Viene inoltre riformulato il comma 2, secondo periodo del medesimo articolo. Si interviene, infine, sul comma 2-bis, prorogando il termine originario del 30 ottobre 2024 al 31 dicembre 2025.</w:t>
      </w:r>
    </w:p>
    <w:p w14:paraId="0D327F3A"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In primo luogo, oggetto di modifica è l'articolo 7-bis, contenente disposizioni urgenti in materia di trasporti in condizioni di eccezionalità del decreto-legge 21 ottobre 2021, n. 146, convertito, con modificazioni, dalla legge 17 dicembre 2021, n. 215, contenente misure urgenti in materia economica e fiscale, a tutela del lavoro e per esigenze indifferibili al quale vengono apportate le seguenti modificazioni:</w:t>
      </w:r>
    </w:p>
    <w:p w14:paraId="654783A6"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Al comma 2, primo periodo:</w:t>
      </w:r>
    </w:p>
    <w:p w14:paraId="03925E43"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1) le parole: «30 marzo 2025» sono sostituite dalle parole: «30 marzo 2026».</w:t>
      </w:r>
    </w:p>
    <w:p w14:paraId="2136D37C"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2) sono soppresse le parole: «al fine di semplificare la disciplina transitoria disposta dalle linee guida adottate con il medesimo decreto sui trasporti in condizione di eccezionalità relativa alle verifiche di sicurezza per il transito dei mezzi fini a 86 tonnellate»;</w:t>
      </w:r>
    </w:p>
    <w:p w14:paraId="4F5BF6CA"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La disposizione in commento interviene sul comma secondo prevedendo, a seguito della apposita modifica che fino alla medesima data continui ad applicarsi, ai trasporti in condizioni di eccezionalità la disciplina di cui all'articolo 10, comma 10 del codice di cui al decreto legislativo 30 aprile 1992, n. 285, nonché, ai trasporti in condizioni di eccezionalità per massa complessiva oltre le 86 tonnellate effettuati mediante complessi di veicoli con meno di otto assi, la disciplina transitoria sulle eventuali misure, anche di natura organizzativa o gestionale, di mitigazione del rischio applicabili di cui all'articolo 10, comma 10-bis, lettera b-bis)del codice della strada»;</w:t>
      </w:r>
    </w:p>
    <w:p w14:paraId="016CEE0D" w14:textId="04C11B22" w:rsidR="00E8419F" w:rsidRDefault="0088088F" w:rsidP="00E77FA9">
      <w:pPr>
        <w:spacing w:after="0"/>
        <w:jc w:val="both"/>
        <w:rPr>
          <w:rFonts w:ascii="CIDFont+F5" w:hAnsi="CIDFont+F5" w:cs="CIDFont+F5"/>
          <w:kern w:val="0"/>
          <w:sz w:val="22"/>
          <w:szCs w:val="22"/>
        </w:rPr>
      </w:pPr>
      <w:r w:rsidRPr="00E76549">
        <w:rPr>
          <w:rFonts w:ascii="CIDFont+F5" w:hAnsi="CIDFont+F5" w:cs="CIDFont+F5"/>
          <w:kern w:val="0"/>
          <w:sz w:val="22"/>
          <w:szCs w:val="22"/>
        </w:rPr>
        <w:t>Si interviene, infine, sul comma 2-bis, prorogando il termine originario del 30 ottobre 2024 al 31 dicembre 2025.</w:t>
      </w:r>
      <w:r w:rsidR="008B1A1B">
        <w:rPr>
          <w:rFonts w:ascii="CIDFont+F5" w:hAnsi="CIDFont+F5" w:cs="CIDFont+F5"/>
          <w:kern w:val="0"/>
          <w:sz w:val="22"/>
          <w:szCs w:val="22"/>
        </w:rPr>
        <w:t xml:space="preserve"> </w:t>
      </w:r>
      <w:r w:rsidRPr="00E76549">
        <w:rPr>
          <w:rFonts w:ascii="CIDFont+F5" w:hAnsi="CIDFont+F5" w:cs="CIDFont+F5"/>
          <w:kern w:val="0"/>
          <w:sz w:val="22"/>
          <w:szCs w:val="22"/>
        </w:rPr>
        <w:t xml:space="preserve">Più nello specifico il comma 2 bis prevede che presso il </w:t>
      </w:r>
      <w:r w:rsidR="008B1A1B">
        <w:rPr>
          <w:rFonts w:ascii="CIDFont+F5" w:hAnsi="CIDFont+F5" w:cs="CIDFont+F5"/>
          <w:kern w:val="0"/>
          <w:sz w:val="22"/>
          <w:szCs w:val="22"/>
        </w:rPr>
        <w:t>MIT</w:t>
      </w:r>
      <w:r w:rsidRPr="00E76549">
        <w:rPr>
          <w:rFonts w:ascii="CIDFont+F5" w:hAnsi="CIDFont+F5" w:cs="CIDFont+F5"/>
          <w:kern w:val="0"/>
          <w:sz w:val="22"/>
          <w:szCs w:val="22"/>
        </w:rPr>
        <w:t xml:space="preserve"> sia istituito un tavolo tecnico, con la partecipazione delle amministrazioni interessate, degli enti proprietari delle strade e delle associazioni di categoria, per la definizione del Piano nazionale per i trasporti in condizioni di eccezionalità. Il predetto Piano, da adottare originariamente entro il 30 ottobre 2024 (a seguito della proroga entro il 31 dicembre 2025) con decreto del </w:t>
      </w:r>
      <w:r w:rsidR="008B1A1B">
        <w:rPr>
          <w:rFonts w:ascii="CIDFont+F5" w:hAnsi="CIDFont+F5" w:cs="CIDFont+F5"/>
          <w:kern w:val="0"/>
          <w:sz w:val="22"/>
          <w:szCs w:val="22"/>
        </w:rPr>
        <w:t>MIT</w:t>
      </w:r>
      <w:r w:rsidRPr="00E76549">
        <w:rPr>
          <w:rFonts w:ascii="CIDFont+F5" w:hAnsi="CIDFont+F5" w:cs="CIDFont+F5"/>
          <w:kern w:val="0"/>
          <w:sz w:val="22"/>
          <w:szCs w:val="22"/>
        </w:rPr>
        <w:t>, di concerto con il Ministro dell'interno, previa intesa in sede di Conferenza unificata, individua i corridoi dedicati ai trasporti in condizioni di eccezionalità che garantiscono il collegamento tra le aree industrializzate del Paese e i principali poli logistici e industriali, le modalità di monitoraggio dei manufatti e le azioni necessarie per risolvere le criticità anche di natura infrastrutturale</w:t>
      </w:r>
      <w:r w:rsidR="00E77FA9">
        <w:rPr>
          <w:rFonts w:ascii="CIDFont+F5" w:hAnsi="CIDFont+F5" w:cs="CIDFont+F5"/>
          <w:kern w:val="0"/>
          <w:sz w:val="22"/>
          <w:szCs w:val="22"/>
        </w:rPr>
        <w:t>.</w:t>
      </w:r>
    </w:p>
    <w:p w14:paraId="03810927" w14:textId="77777777" w:rsidR="00E77FA9" w:rsidRPr="00E76549" w:rsidRDefault="00E77FA9" w:rsidP="00E77FA9">
      <w:pPr>
        <w:spacing w:after="0"/>
        <w:jc w:val="both"/>
        <w:rPr>
          <w:rFonts w:ascii="CIDFont+F5" w:hAnsi="CIDFont+F5" w:cs="CIDFont+F5"/>
          <w:kern w:val="0"/>
          <w:sz w:val="22"/>
          <w:szCs w:val="22"/>
        </w:rPr>
      </w:pPr>
    </w:p>
    <w:p w14:paraId="762E4848" w14:textId="62F740D3" w:rsidR="00631B97" w:rsidRDefault="00631B97" w:rsidP="00631B97">
      <w:pPr>
        <w:autoSpaceDE w:val="0"/>
        <w:autoSpaceDN w:val="0"/>
        <w:adjustRightInd w:val="0"/>
        <w:spacing w:after="0" w:line="240" w:lineRule="auto"/>
        <w:jc w:val="center"/>
        <w:rPr>
          <w:rFonts w:ascii="CIDFont+F5" w:hAnsi="CIDFont+F5" w:cs="CIDFont+F5"/>
          <w:b/>
          <w:bCs/>
          <w:kern w:val="0"/>
          <w:sz w:val="22"/>
          <w:szCs w:val="22"/>
        </w:rPr>
      </w:pPr>
      <w:r>
        <w:rPr>
          <w:rFonts w:ascii="CIDFont+F5" w:hAnsi="CIDFont+F5" w:cs="CIDFont+F5"/>
          <w:b/>
          <w:bCs/>
          <w:kern w:val="0"/>
          <w:sz w:val="22"/>
          <w:szCs w:val="22"/>
        </w:rPr>
        <w:lastRenderedPageBreak/>
        <w:t>A</w:t>
      </w:r>
      <w:r w:rsidRPr="002D77C9">
        <w:rPr>
          <w:rFonts w:ascii="CIDFont+F5" w:hAnsi="CIDFont+F5" w:cs="CIDFont+F5"/>
          <w:b/>
          <w:bCs/>
          <w:kern w:val="0"/>
          <w:sz w:val="22"/>
          <w:szCs w:val="22"/>
        </w:rPr>
        <w:t>rt. 7 comma 4 duodecies</w:t>
      </w:r>
    </w:p>
    <w:p w14:paraId="4E67DD42" w14:textId="6B5B856D" w:rsidR="00BA7CA3" w:rsidRDefault="00631B97" w:rsidP="00631B97">
      <w:pPr>
        <w:autoSpaceDE w:val="0"/>
        <w:autoSpaceDN w:val="0"/>
        <w:adjustRightInd w:val="0"/>
        <w:spacing w:after="0" w:line="240" w:lineRule="auto"/>
        <w:jc w:val="center"/>
        <w:rPr>
          <w:rFonts w:ascii="CIDFont+F5" w:hAnsi="CIDFont+F5" w:cs="CIDFont+F5"/>
          <w:b/>
          <w:bCs/>
          <w:kern w:val="0"/>
          <w:sz w:val="22"/>
          <w:szCs w:val="22"/>
        </w:rPr>
      </w:pPr>
      <w:r>
        <w:rPr>
          <w:rFonts w:ascii="CIDFont+F5" w:hAnsi="CIDFont+F5" w:cs="CIDFont+F5"/>
          <w:b/>
          <w:bCs/>
          <w:kern w:val="0"/>
          <w:sz w:val="22"/>
          <w:szCs w:val="22"/>
        </w:rPr>
        <w:t>(</w:t>
      </w:r>
      <w:r w:rsidR="00BA7CA3" w:rsidRPr="002D77C9">
        <w:rPr>
          <w:rFonts w:ascii="CIDFont+F5" w:hAnsi="CIDFont+F5" w:cs="CIDFont+F5"/>
          <w:b/>
          <w:bCs/>
          <w:kern w:val="0"/>
          <w:sz w:val="22"/>
          <w:szCs w:val="22"/>
        </w:rPr>
        <w:t>Proroga affidamento lavori messa in sicurezza ponti bacino del Po</w:t>
      </w:r>
      <w:r>
        <w:rPr>
          <w:rFonts w:ascii="CIDFont+F5" w:hAnsi="CIDFont+F5" w:cs="CIDFont+F5"/>
          <w:b/>
          <w:bCs/>
          <w:kern w:val="0"/>
          <w:sz w:val="22"/>
          <w:szCs w:val="22"/>
        </w:rPr>
        <w:t>)</w:t>
      </w:r>
    </w:p>
    <w:p w14:paraId="034C6505" w14:textId="77777777" w:rsidR="00F034BC" w:rsidRPr="00E76549" w:rsidRDefault="00F034BC" w:rsidP="00F034BC">
      <w:pPr>
        <w:autoSpaceDE w:val="0"/>
        <w:autoSpaceDN w:val="0"/>
        <w:adjustRightInd w:val="0"/>
        <w:spacing w:after="0" w:line="240" w:lineRule="auto"/>
        <w:jc w:val="both"/>
        <w:rPr>
          <w:rFonts w:ascii="CIDFont+F5" w:hAnsi="CIDFont+F5" w:cs="CIDFont+F5"/>
          <w:kern w:val="0"/>
          <w:sz w:val="22"/>
          <w:szCs w:val="22"/>
        </w:rPr>
      </w:pPr>
    </w:p>
    <w:p w14:paraId="24CC2D10" w14:textId="77777777" w:rsidR="00F034BC" w:rsidRPr="00F034BC" w:rsidRDefault="00F034BC" w:rsidP="00F034B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IDFont+F5" w:hAnsi="CIDFont+F5" w:cs="CIDFont+F5"/>
          <w:i/>
          <w:iCs/>
          <w:kern w:val="0"/>
          <w:sz w:val="22"/>
          <w:szCs w:val="22"/>
        </w:rPr>
      </w:pPr>
      <w:r w:rsidRPr="00F034BC">
        <w:rPr>
          <w:rFonts w:ascii="CIDFont+F5" w:hAnsi="CIDFont+F5" w:cs="CIDFont+F5"/>
          <w:i/>
          <w:iCs/>
          <w:kern w:val="0"/>
          <w:sz w:val="22"/>
          <w:szCs w:val="22"/>
        </w:rPr>
        <w:t xml:space="preserve">4-duodecies. Entro quindici giorni dalla data di entrata in vigore della legge di conversione del presente decreto, i soggetti beneficiari dei finanziamenti di cui all’articolo 1, comma 891, della legge 30 dicembre 2018, n. 145, trasmettono al Ministero delle infrastrutture e dei trasporti apposita manifestazione di interesse alla proroga dei termini di accesso al finanziamento assegnato, corredata della documentazione attestante lo stato di avanzamento degli interventi, il quadro economico aggiornato, incluso il dettaglio delle risorse necessarie a garantire l’integrale realizzazione dell’opera, nonché il termine finale per l’aggiudicazione dei lavori. Sulla base delle manifestazioni di interesse di cui al primo periodo, previa ricognizione dello stato di avanzamento dell’iter approvativo dell’opera e delle relative procedure di affidamento, con decreto del Ministro delle infrastrutture e dei trasporti, di concerto con il Ministro dell’economia e delle finanze, da adottare entro quarantacinque giorni dalla data di entrata in vigore della legge di conversione del presente decreto, è definito, secondo l’originaria graduatoria, l’elenco degli interventi che possono accedere all’erogazione delle ulteriori rate dei finanziamenti del fondo di cui all’articolo 1, comma 891, della legge 30 dicembre 2018, n. 145, nei limiti delle risorse stanziate a legislazione vigente, a condizione che l’aggiudicazione del relativo appalto di lavori avvenga entro e non oltre il 31 dicembre 2025. Eventuali risorse inutilizzate all’esito della ricognizione possono essere ripartite tra gli interventi individuati ai sensi del secondo periodo, secondo l’originaria graduatoria, tenuto conto di eventuali fabbisogni integrativi di finanziamento dell’intervento conseguenti a esigenze di revisione dei prezzi dell’intervento ovvero a varianti. Il medesimo decreto disciplina le modalità di monitoraggio degli interventi e dei relativi cronoprogrammi, attraverso i sistemi informativi del Dipartimento della Ragioneria generale dello Stato, nonché le modalità di revoca delle risorse anche in caso di mancato aggiornamento dei dati contenuti nei </w:t>
      </w:r>
      <w:proofErr w:type="gramStart"/>
      <w:r w:rsidRPr="00F034BC">
        <w:rPr>
          <w:rFonts w:ascii="CIDFont+F5" w:hAnsi="CIDFont+F5" w:cs="CIDFont+F5"/>
          <w:i/>
          <w:iCs/>
          <w:kern w:val="0"/>
          <w:sz w:val="22"/>
          <w:szCs w:val="22"/>
        </w:rPr>
        <w:t>predetti</w:t>
      </w:r>
      <w:proofErr w:type="gramEnd"/>
      <w:r w:rsidRPr="00F034BC">
        <w:rPr>
          <w:rFonts w:ascii="CIDFont+F5" w:hAnsi="CIDFont+F5" w:cs="CIDFont+F5"/>
          <w:i/>
          <w:iCs/>
          <w:kern w:val="0"/>
          <w:sz w:val="22"/>
          <w:szCs w:val="22"/>
        </w:rPr>
        <w:t xml:space="preserve"> sistemi informativi.</w:t>
      </w:r>
    </w:p>
    <w:p w14:paraId="47E973CA" w14:textId="77777777" w:rsidR="00F034BC" w:rsidRPr="00E76549" w:rsidRDefault="00F034BC" w:rsidP="00F034BC">
      <w:pPr>
        <w:autoSpaceDE w:val="0"/>
        <w:autoSpaceDN w:val="0"/>
        <w:adjustRightInd w:val="0"/>
        <w:spacing w:after="0" w:line="240" w:lineRule="auto"/>
        <w:jc w:val="both"/>
        <w:rPr>
          <w:rFonts w:ascii="CIDFont+F5" w:hAnsi="CIDFont+F5" w:cs="CIDFont+F5"/>
          <w:kern w:val="0"/>
          <w:sz w:val="22"/>
          <w:szCs w:val="22"/>
        </w:rPr>
      </w:pPr>
    </w:p>
    <w:p w14:paraId="7E710C47" w14:textId="22531480" w:rsidR="00BA7CA3" w:rsidRPr="00E76549" w:rsidRDefault="00BA7CA3" w:rsidP="00F034BC">
      <w:pPr>
        <w:autoSpaceDE w:val="0"/>
        <w:autoSpaceDN w:val="0"/>
        <w:adjustRightInd w:val="0"/>
        <w:spacing w:after="0" w:line="240" w:lineRule="auto"/>
        <w:jc w:val="both"/>
        <w:rPr>
          <w:rFonts w:ascii="CIDFont+F5" w:hAnsi="CIDFont+F5" w:cs="CIDFont+F5"/>
          <w:kern w:val="0"/>
          <w:sz w:val="22"/>
          <w:szCs w:val="22"/>
        </w:rPr>
      </w:pPr>
      <w:r w:rsidRPr="00E76549">
        <w:rPr>
          <w:rFonts w:ascii="CIDFont+F5" w:hAnsi="CIDFont+F5" w:cs="CIDFont+F5"/>
          <w:kern w:val="0"/>
          <w:sz w:val="22"/>
          <w:szCs w:val="22"/>
        </w:rPr>
        <w:t xml:space="preserve">La norma </w:t>
      </w:r>
      <w:r w:rsidR="000C53E8" w:rsidRPr="00E76549">
        <w:rPr>
          <w:rFonts w:ascii="CIDFont+F5" w:hAnsi="CIDFont+F5" w:cs="CIDFont+F5"/>
          <w:kern w:val="0"/>
          <w:sz w:val="22"/>
          <w:szCs w:val="22"/>
        </w:rPr>
        <w:t>proroga per le Province</w:t>
      </w:r>
      <w:r w:rsidRPr="00E76549">
        <w:rPr>
          <w:rFonts w:ascii="CIDFont+F5" w:hAnsi="CIDFont+F5" w:cs="CIDFont+F5"/>
          <w:kern w:val="0"/>
          <w:sz w:val="22"/>
          <w:szCs w:val="22"/>
        </w:rPr>
        <w:t xml:space="preserve"> l’accesso al Fondo per la messa in sicurezza dei ponti</w:t>
      </w:r>
      <w:r w:rsidR="000C53E8" w:rsidRPr="00E76549">
        <w:rPr>
          <w:rFonts w:ascii="CIDFont+F5" w:hAnsi="CIDFont+F5" w:cs="CIDFont+F5"/>
          <w:kern w:val="0"/>
          <w:sz w:val="22"/>
          <w:szCs w:val="22"/>
        </w:rPr>
        <w:t xml:space="preserve"> </w:t>
      </w:r>
      <w:r w:rsidRPr="00E76549">
        <w:rPr>
          <w:rFonts w:ascii="CIDFont+F5" w:hAnsi="CIDFont+F5" w:cs="CIDFont+F5"/>
          <w:kern w:val="0"/>
          <w:sz w:val="22"/>
          <w:szCs w:val="22"/>
        </w:rPr>
        <w:t>esistenti e alla realizzazione di nuovi ponti in sostituzione di quelli esistenti con</w:t>
      </w:r>
      <w:r w:rsidR="000C53E8" w:rsidRPr="00E76549">
        <w:rPr>
          <w:rFonts w:ascii="CIDFont+F5" w:hAnsi="CIDFont+F5" w:cs="CIDFont+F5"/>
          <w:kern w:val="0"/>
          <w:sz w:val="22"/>
          <w:szCs w:val="22"/>
        </w:rPr>
        <w:t xml:space="preserve"> </w:t>
      </w:r>
      <w:r w:rsidRPr="00E76549">
        <w:rPr>
          <w:rFonts w:ascii="CIDFont+F5" w:hAnsi="CIDFont+F5" w:cs="CIDFont+F5"/>
          <w:kern w:val="0"/>
          <w:sz w:val="22"/>
          <w:szCs w:val="22"/>
        </w:rPr>
        <w:t>problemi strutturali di sicurezza nel bacino del Po a condizione che l’aggiudicazione dei</w:t>
      </w:r>
      <w:r w:rsidR="000C53E8" w:rsidRPr="00E76549">
        <w:rPr>
          <w:rFonts w:ascii="CIDFont+F5" w:hAnsi="CIDFont+F5" w:cs="CIDFont+F5"/>
          <w:kern w:val="0"/>
          <w:sz w:val="22"/>
          <w:szCs w:val="22"/>
        </w:rPr>
        <w:t xml:space="preserve"> </w:t>
      </w:r>
      <w:r w:rsidRPr="00E76549">
        <w:rPr>
          <w:rFonts w:ascii="CIDFont+F5" w:hAnsi="CIDFont+F5" w:cs="CIDFont+F5"/>
          <w:kern w:val="0"/>
          <w:sz w:val="22"/>
          <w:szCs w:val="22"/>
        </w:rPr>
        <w:t xml:space="preserve">relativi appalti avvenga entro e non oltre il 31 dicembre 2025. </w:t>
      </w:r>
      <w:proofErr w:type="gramStart"/>
      <w:r w:rsidRPr="00E76549">
        <w:rPr>
          <w:rFonts w:ascii="CIDFont+F5" w:hAnsi="CIDFont+F5" w:cs="CIDFont+F5"/>
          <w:kern w:val="0"/>
          <w:sz w:val="22"/>
          <w:szCs w:val="22"/>
        </w:rPr>
        <w:t>In particolare</w:t>
      </w:r>
      <w:proofErr w:type="gramEnd"/>
      <w:r w:rsidRPr="00E76549">
        <w:rPr>
          <w:rFonts w:ascii="CIDFont+F5" w:hAnsi="CIDFont+F5" w:cs="CIDFont+F5"/>
          <w:kern w:val="0"/>
          <w:sz w:val="22"/>
          <w:szCs w:val="22"/>
        </w:rPr>
        <w:t xml:space="preserve"> la</w:t>
      </w:r>
      <w:r w:rsidR="000C53E8" w:rsidRPr="00E76549">
        <w:rPr>
          <w:rFonts w:ascii="CIDFont+F5" w:hAnsi="CIDFont+F5" w:cs="CIDFont+F5"/>
          <w:kern w:val="0"/>
          <w:sz w:val="22"/>
          <w:szCs w:val="22"/>
        </w:rPr>
        <w:t xml:space="preserve"> </w:t>
      </w:r>
      <w:r w:rsidRPr="00E76549">
        <w:rPr>
          <w:rFonts w:ascii="CIDFont+F5" w:hAnsi="CIDFont+F5" w:cs="CIDFont+F5"/>
          <w:kern w:val="0"/>
          <w:sz w:val="22"/>
          <w:szCs w:val="22"/>
        </w:rPr>
        <w:t>disposizione modifica le relative procedure e termini.</w:t>
      </w:r>
    </w:p>
    <w:p w14:paraId="34372B06" w14:textId="77777777" w:rsidR="0088088F" w:rsidRPr="00E76549" w:rsidRDefault="0088088F" w:rsidP="00F034BC">
      <w:pPr>
        <w:autoSpaceDE w:val="0"/>
        <w:autoSpaceDN w:val="0"/>
        <w:adjustRightInd w:val="0"/>
        <w:spacing w:after="0" w:line="240" w:lineRule="auto"/>
        <w:jc w:val="both"/>
        <w:rPr>
          <w:rFonts w:ascii="CIDFont+F5" w:hAnsi="CIDFont+F5" w:cs="CIDFont+F5"/>
          <w:kern w:val="0"/>
          <w:sz w:val="22"/>
          <w:szCs w:val="22"/>
        </w:rPr>
      </w:pPr>
    </w:p>
    <w:p w14:paraId="50361D71"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L’articolo 7, comma 4-duodecies, individua la procedura in base alla quale sulla scorta delle manifestazioni di interesse pervenute, previa ricognizione dello stato di avanzamento dell’iter approvativo dell’opera e delle relative procedure di affidamento, con decreto del Ministro delle infrastrutture e dei trasporti, di concerto con il Ministro dell'economia e delle finanze, è definito, secondo l’originaria graduatoria, l’elenco degli interventi che possono accedere all’erogazione delle ulteriori rate dei finanziamenti del Fondo di cui all'articolo 1, comma 891, della legge 30 dicembre 2018, n. 145, nei limiti delle risorse stanziate a legislazione vigente, a condizione che l’aggiudicazione del relativo appalto di lavori avvenga entro e non oltre il 31 dicembre 2025.</w:t>
      </w:r>
    </w:p>
    <w:p w14:paraId="471458B5"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La disposizione prevede che, entro quindici giorni dalla data di entrata in vigore della presente disposizione, i soggetti beneficiari dei finanziamenti di cui all'articolo 1, comma 891, della legge 30 dicembre 2018, n. 145, trasmettano al Ministero delle infrastrutture e dei trasporti apposita manifestazione di interesse alla proroga dei termini di accesso al finanziamento assegnato, corredata dalla documentazione attestante lo stato di avanzamento degli interventi, il quadro economico aggiornato, incluso il dettaglio delle risorse necessarie a garantire l’integrale realizzazione dell’opera, nonché il termine finale per l'aggiudicazione dei lavori.</w:t>
      </w:r>
    </w:p>
    <w:p w14:paraId="729BFDBB"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 xml:space="preserve">Sulla base delle manifestazioni di interesse di cui al primo periodo, previa ricognizione dello stato di avanzamento dell’iter approvativo dell’opera e delle relative procedure di affidamento, con decreto del Ministro delle infrastrutture e dei trasporti, di concerto con il Ministro dell'economia e delle finanze, da adottare entro quarantacinque giorni dalla data di entrata in vigore della presente disposizione, è definito, secondo l’originaria graduatoria, l’elenco degli interventi che possono accedere all’erogazione delle ulteriori </w:t>
      </w:r>
      <w:r w:rsidRPr="00E76549">
        <w:rPr>
          <w:rFonts w:ascii="CIDFont+F5" w:hAnsi="CIDFont+F5" w:cs="CIDFont+F5"/>
          <w:kern w:val="0"/>
          <w:sz w:val="22"/>
          <w:szCs w:val="22"/>
        </w:rPr>
        <w:lastRenderedPageBreak/>
        <w:t>rate dei finanziamenti del Fondo, nei limiti delle risorse stanziate a legislazione vigente, a condizione che l’aggiudicazione del relativo appalto di lavori avvenga entro e non oltre il 31 dicembre 2025.</w:t>
      </w:r>
    </w:p>
    <w:p w14:paraId="6561D0F0"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Eventuali risorse inutilizzate all’esito della ricognizione possono essere ripartite tra gli interventi individuati ai sensi del secondo periodo, secondo l’originaria graduatoria, tenuto conto di eventuali fabbisogni integrativi di finanziamento dell’intervento conseguenti a esigenze di revisione dei prezzi dell’intervento ovvero a varianti.</w:t>
      </w:r>
    </w:p>
    <w:p w14:paraId="74997781"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 xml:space="preserve">Il medesimo decreto disciplina le modalità di monitoraggio degli interventi e dei relativi cronoprogrammi, attraverso i sistemi informativi del Dipartimento della Ragioneria generale dello Stato, nonché le modalità di revoca delle risorse anche in caso di mancato aggiornamento dei dati contenuti nei </w:t>
      </w:r>
      <w:proofErr w:type="gramStart"/>
      <w:r w:rsidRPr="00E76549">
        <w:rPr>
          <w:rFonts w:ascii="CIDFont+F5" w:hAnsi="CIDFont+F5" w:cs="CIDFont+F5"/>
          <w:kern w:val="0"/>
          <w:sz w:val="22"/>
          <w:szCs w:val="22"/>
        </w:rPr>
        <w:t>predetti</w:t>
      </w:r>
      <w:proofErr w:type="gramEnd"/>
      <w:r w:rsidRPr="00E76549">
        <w:rPr>
          <w:rFonts w:ascii="CIDFont+F5" w:hAnsi="CIDFont+F5" w:cs="CIDFont+F5"/>
          <w:kern w:val="0"/>
          <w:sz w:val="22"/>
          <w:szCs w:val="22"/>
        </w:rPr>
        <w:t xml:space="preserve"> sistemi informativi.</w:t>
      </w:r>
    </w:p>
    <w:p w14:paraId="3E8A746B"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Si ricorda che l’articolo 1, comma 891, della legge 30 dicembre 2018, n. 145, ha istituito nello stato di previsione del Ministero delle infrastrutture e dei trasporti un fondo, con una dotazione di 50 milioni di euro per ciascuno degli anni dal 2019 al 2023, finalizzato alla messa in sicurezza dei ponti esistenti e alla realizzazione di nuovi ponti in sostituzione di quelli esistenti con problemi strutturali di sicurezza nel bacino del Po. Le risorse del fondo sono state assegnate alle città metropolitane, alle province territorialmente competenti e all’ANAS S.p.A. con il decreto del Ministro delle infrastrutture e dei trasporti, di concerto con il Ministro dell’economia e delle finanze, 3 gennaio 2020, n. 1, che individuava, quale termine per l’aggiudicazione degli interventi, 24 mesi dalla data di erogazione della prima rata di finanziamento, decorsi i quali sarebbe intervenuta la revoca del finanziamento.</w:t>
      </w:r>
    </w:p>
    <w:p w14:paraId="60A0FDB8"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Successivamente, l’articolo 10, comma 11-sexiesdecies, del decreto-legge 29 dicembre 2022, 198, ha differito al 30 giugno 2024 i termini per l'aggiudicazione degli interventi finanziati a valere sulle risorse di cui al citato articolo 1, comma 891, della legge, n. 145 del 2018. In attuazione di questa disposizione, il decreto del Ministro delle infrastrutture e dei trasporti, di concerto con il Ministro dell'economia e delle finanze, 11 luglio 2023, ha apportato modifiche al decreto n. 1 del 2020 al fine di prevedere che i soggetti attuatori sono tenuti ad aggiudicare i lavori entro il 30 giugno 2024.</w:t>
      </w:r>
    </w:p>
    <w:p w14:paraId="1B325550"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In considerazione delle criticità riscontrate dai soggetti beneficiari nell’aggiudicazione dei lavori, l’articolo 5, comma 4, del decreto-legge 29 giugno 2024, n. 89, convertito, con modificazioni, dalla legge 8 agosto 2024, n. 120, ha ulteriormente differito al 31 dicembre 2024 i termini per l’aggiudicazione degli interventi in esame. Infatti, la crisi economica determinata dall’emergenza sanitaria da COVID-19, dalla crisi ucraina e dalle crisi internazionali attualmente in corso hanno determinato difficoltà sia nell’aggiudicazione degli interventi, sia nella realizzazione degli stessi.</w:t>
      </w:r>
    </w:p>
    <w:p w14:paraId="74FF8CE4" w14:textId="77777777" w:rsidR="0088088F"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Posto che alla data del 31 dicembre 2024 non è ancora intervenuta l’aggiudicazione per molti degli interventi in esame e valutata l’importanza degli stessi anche in termini di sicurezza della circolazione viaria, la proposta emendativa in esame prevede che i beneficiari dei finanziamenti, entro 15 giorni, debbano trasmettere  al Ministero delle infrastrutture e dei trasporti la conferma di interesse a mantenere il finanziamento assegnato, lo stato di avanzamento degli interventi, corredato dal quadro economico aggiornato comprendente il dettaglio dei finanziamenti a copertura dell’integrale realizzazione delle opere, nonché la data prevista per l’aggiudicazione dei lavori.</w:t>
      </w:r>
    </w:p>
    <w:p w14:paraId="6C341EB7" w14:textId="77777777" w:rsidR="00E77FA9" w:rsidRDefault="00E77FA9" w:rsidP="00F034BC">
      <w:pPr>
        <w:spacing w:after="0"/>
        <w:jc w:val="both"/>
        <w:rPr>
          <w:rFonts w:ascii="CIDFont+F5" w:hAnsi="CIDFont+F5" w:cs="CIDFont+F5"/>
          <w:kern w:val="0"/>
          <w:sz w:val="22"/>
          <w:szCs w:val="22"/>
        </w:rPr>
      </w:pPr>
    </w:p>
    <w:p w14:paraId="4771B208" w14:textId="77777777" w:rsidR="00E77FA9" w:rsidRDefault="00E77FA9" w:rsidP="00F034BC">
      <w:pPr>
        <w:spacing w:after="0"/>
        <w:jc w:val="both"/>
        <w:rPr>
          <w:rFonts w:ascii="CIDFont+F5" w:hAnsi="CIDFont+F5" w:cs="CIDFont+F5"/>
          <w:kern w:val="0"/>
          <w:sz w:val="22"/>
          <w:szCs w:val="22"/>
        </w:rPr>
      </w:pPr>
    </w:p>
    <w:p w14:paraId="5BD46DE5" w14:textId="77777777" w:rsidR="00E77FA9" w:rsidRDefault="00E77FA9" w:rsidP="00F034BC">
      <w:pPr>
        <w:spacing w:after="0"/>
        <w:jc w:val="both"/>
        <w:rPr>
          <w:rFonts w:ascii="CIDFont+F5" w:hAnsi="CIDFont+F5" w:cs="CIDFont+F5"/>
          <w:kern w:val="0"/>
          <w:sz w:val="22"/>
          <w:szCs w:val="22"/>
        </w:rPr>
      </w:pPr>
    </w:p>
    <w:p w14:paraId="3CF7B707" w14:textId="77777777" w:rsidR="00E77FA9" w:rsidRDefault="00E77FA9" w:rsidP="00F034BC">
      <w:pPr>
        <w:spacing w:after="0"/>
        <w:jc w:val="both"/>
        <w:rPr>
          <w:rFonts w:ascii="CIDFont+F5" w:hAnsi="CIDFont+F5" w:cs="CIDFont+F5"/>
          <w:kern w:val="0"/>
          <w:sz w:val="22"/>
          <w:szCs w:val="22"/>
        </w:rPr>
      </w:pPr>
    </w:p>
    <w:p w14:paraId="4730D1EE" w14:textId="77777777" w:rsidR="00E77FA9" w:rsidRDefault="00E77FA9" w:rsidP="00F034BC">
      <w:pPr>
        <w:spacing w:after="0"/>
        <w:jc w:val="both"/>
        <w:rPr>
          <w:rFonts w:ascii="CIDFont+F5" w:hAnsi="CIDFont+F5" w:cs="CIDFont+F5"/>
          <w:kern w:val="0"/>
          <w:sz w:val="22"/>
          <w:szCs w:val="22"/>
        </w:rPr>
      </w:pPr>
    </w:p>
    <w:p w14:paraId="0FC313B2" w14:textId="77777777" w:rsidR="00E77FA9" w:rsidRDefault="00E77FA9" w:rsidP="00F034BC">
      <w:pPr>
        <w:spacing w:after="0"/>
        <w:jc w:val="both"/>
        <w:rPr>
          <w:rFonts w:ascii="CIDFont+F5" w:hAnsi="CIDFont+F5" w:cs="CIDFont+F5"/>
          <w:kern w:val="0"/>
          <w:sz w:val="22"/>
          <w:szCs w:val="22"/>
        </w:rPr>
      </w:pPr>
    </w:p>
    <w:p w14:paraId="662F5AF3" w14:textId="77777777" w:rsidR="00E77FA9" w:rsidRPr="00E76549" w:rsidRDefault="00E77FA9" w:rsidP="00F034BC">
      <w:pPr>
        <w:spacing w:after="0"/>
        <w:jc w:val="both"/>
        <w:rPr>
          <w:rFonts w:ascii="CIDFont+F5" w:hAnsi="CIDFont+F5" w:cs="CIDFont+F5"/>
          <w:kern w:val="0"/>
          <w:sz w:val="22"/>
          <w:szCs w:val="22"/>
        </w:rPr>
      </w:pPr>
    </w:p>
    <w:p w14:paraId="58C3246A" w14:textId="77777777" w:rsidR="0015070C" w:rsidRPr="00E76549" w:rsidRDefault="0015070C" w:rsidP="00F034BC">
      <w:pPr>
        <w:autoSpaceDE w:val="0"/>
        <w:autoSpaceDN w:val="0"/>
        <w:adjustRightInd w:val="0"/>
        <w:spacing w:after="0" w:line="240" w:lineRule="auto"/>
        <w:jc w:val="both"/>
        <w:rPr>
          <w:rFonts w:ascii="CIDFont+F5" w:hAnsi="CIDFont+F5" w:cs="CIDFont+F5"/>
          <w:kern w:val="0"/>
          <w:sz w:val="22"/>
          <w:szCs w:val="22"/>
        </w:rPr>
      </w:pPr>
    </w:p>
    <w:p w14:paraId="746774AB" w14:textId="26A4BB2F" w:rsidR="00631B97" w:rsidRDefault="00631B97" w:rsidP="00F034BC">
      <w:pPr>
        <w:autoSpaceDE w:val="0"/>
        <w:autoSpaceDN w:val="0"/>
        <w:adjustRightInd w:val="0"/>
        <w:spacing w:after="0" w:line="240" w:lineRule="auto"/>
        <w:jc w:val="center"/>
        <w:rPr>
          <w:rFonts w:ascii="CIDFont+F5" w:hAnsi="CIDFont+F5" w:cs="CIDFont+F5"/>
          <w:b/>
          <w:bCs/>
          <w:kern w:val="0"/>
          <w:sz w:val="22"/>
          <w:szCs w:val="22"/>
        </w:rPr>
      </w:pPr>
      <w:r w:rsidRPr="00F034BC">
        <w:rPr>
          <w:rFonts w:ascii="CIDFont+F5" w:hAnsi="CIDFont+F5" w:cs="CIDFont+F5"/>
          <w:b/>
          <w:bCs/>
          <w:kern w:val="0"/>
          <w:sz w:val="22"/>
          <w:szCs w:val="22"/>
        </w:rPr>
        <w:t>Art. 21-bis</w:t>
      </w:r>
    </w:p>
    <w:p w14:paraId="176469A2" w14:textId="18ADB5F2" w:rsidR="00BA7CA3" w:rsidRDefault="00631B97" w:rsidP="00F034BC">
      <w:pPr>
        <w:autoSpaceDE w:val="0"/>
        <w:autoSpaceDN w:val="0"/>
        <w:adjustRightInd w:val="0"/>
        <w:spacing w:after="0" w:line="240" w:lineRule="auto"/>
        <w:jc w:val="center"/>
        <w:rPr>
          <w:rFonts w:ascii="CIDFont+F5" w:hAnsi="CIDFont+F5" w:cs="CIDFont+F5"/>
          <w:b/>
          <w:bCs/>
          <w:kern w:val="0"/>
          <w:sz w:val="22"/>
          <w:szCs w:val="22"/>
        </w:rPr>
      </w:pPr>
      <w:r>
        <w:rPr>
          <w:rFonts w:ascii="CIDFont+F5" w:hAnsi="CIDFont+F5" w:cs="CIDFont+F5"/>
          <w:b/>
          <w:bCs/>
          <w:kern w:val="0"/>
          <w:sz w:val="22"/>
          <w:szCs w:val="22"/>
        </w:rPr>
        <w:t>(</w:t>
      </w:r>
      <w:r w:rsidR="00AA7BA6" w:rsidRPr="00F034BC">
        <w:rPr>
          <w:rFonts w:ascii="CIDFont+F5" w:hAnsi="CIDFont+F5" w:cs="CIDFont+F5"/>
          <w:b/>
          <w:bCs/>
          <w:kern w:val="0"/>
          <w:sz w:val="22"/>
          <w:szCs w:val="22"/>
        </w:rPr>
        <w:t>D</w:t>
      </w:r>
      <w:r w:rsidR="00BA7CA3" w:rsidRPr="00F034BC">
        <w:rPr>
          <w:rFonts w:ascii="CIDFont+F5" w:hAnsi="CIDFont+F5" w:cs="CIDFont+F5"/>
          <w:b/>
          <w:bCs/>
          <w:kern w:val="0"/>
          <w:sz w:val="22"/>
          <w:szCs w:val="22"/>
        </w:rPr>
        <w:t xml:space="preserve">isposizioni </w:t>
      </w:r>
      <w:r w:rsidR="00AA7BA6" w:rsidRPr="00F034BC">
        <w:rPr>
          <w:rFonts w:ascii="CIDFont+F5" w:hAnsi="CIDFont+F5" w:cs="CIDFont+F5"/>
          <w:b/>
          <w:bCs/>
          <w:kern w:val="0"/>
          <w:sz w:val="22"/>
          <w:szCs w:val="22"/>
        </w:rPr>
        <w:t>in materia di elezione del Presidente della Provincia</w:t>
      </w:r>
      <w:r w:rsidR="00BA7CA3" w:rsidRPr="00F034BC">
        <w:rPr>
          <w:rFonts w:ascii="CIDFont+F5" w:hAnsi="CIDFont+F5" w:cs="CIDFont+F5"/>
          <w:b/>
          <w:bCs/>
          <w:kern w:val="0"/>
          <w:sz w:val="22"/>
          <w:szCs w:val="22"/>
        </w:rPr>
        <w:t>)</w:t>
      </w:r>
    </w:p>
    <w:p w14:paraId="541BD2BC" w14:textId="77777777" w:rsidR="00D50199" w:rsidRDefault="00D50199" w:rsidP="00F034BC">
      <w:pPr>
        <w:autoSpaceDE w:val="0"/>
        <w:autoSpaceDN w:val="0"/>
        <w:adjustRightInd w:val="0"/>
        <w:spacing w:after="0" w:line="240" w:lineRule="auto"/>
        <w:jc w:val="center"/>
        <w:rPr>
          <w:rFonts w:ascii="CIDFont+F5" w:hAnsi="CIDFont+F5" w:cs="CIDFont+F5"/>
          <w:b/>
          <w:bCs/>
          <w:kern w:val="0"/>
          <w:sz w:val="22"/>
          <w:szCs w:val="22"/>
        </w:rPr>
      </w:pPr>
    </w:p>
    <w:p w14:paraId="19F29A78" w14:textId="77777777" w:rsidR="00F034BC" w:rsidRPr="00E76549" w:rsidRDefault="00F034BC" w:rsidP="00F034BC">
      <w:pPr>
        <w:autoSpaceDE w:val="0"/>
        <w:autoSpaceDN w:val="0"/>
        <w:adjustRightInd w:val="0"/>
        <w:spacing w:after="0" w:line="240" w:lineRule="auto"/>
        <w:jc w:val="both"/>
        <w:rPr>
          <w:rFonts w:ascii="CIDFont+F5" w:hAnsi="CIDFont+F5" w:cs="CIDFont+F5"/>
          <w:kern w:val="0"/>
          <w:sz w:val="22"/>
          <w:szCs w:val="22"/>
        </w:rPr>
      </w:pPr>
    </w:p>
    <w:p w14:paraId="0B1CAB90" w14:textId="77777777" w:rsidR="00F034BC" w:rsidRPr="00F034BC" w:rsidRDefault="00F034BC" w:rsidP="00F034B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IDFont+F5" w:hAnsi="CIDFont+F5" w:cs="CIDFont+F5"/>
          <w:i/>
          <w:iCs/>
          <w:kern w:val="0"/>
          <w:sz w:val="22"/>
          <w:szCs w:val="22"/>
        </w:rPr>
      </w:pPr>
      <w:r w:rsidRPr="00F034BC">
        <w:rPr>
          <w:rFonts w:ascii="CIDFont+F5" w:hAnsi="CIDFont+F5" w:cs="CIDFont+F5"/>
          <w:i/>
          <w:iCs/>
          <w:kern w:val="0"/>
          <w:sz w:val="22"/>
          <w:szCs w:val="22"/>
        </w:rPr>
        <w:t>Il termine di cui all’articolo 1, comma 60, della legge 7 aprile 2014, n. 56, non si applica per gli anni 2025 e 2026.</w:t>
      </w:r>
    </w:p>
    <w:p w14:paraId="43C3A5A2" w14:textId="77777777" w:rsidR="00F034BC" w:rsidRPr="00F034BC" w:rsidRDefault="00F034BC" w:rsidP="00F034BC">
      <w:pPr>
        <w:autoSpaceDE w:val="0"/>
        <w:autoSpaceDN w:val="0"/>
        <w:adjustRightInd w:val="0"/>
        <w:spacing w:after="0" w:line="240" w:lineRule="auto"/>
        <w:jc w:val="center"/>
        <w:rPr>
          <w:rFonts w:ascii="CIDFont+F5" w:hAnsi="CIDFont+F5" w:cs="CIDFont+F5"/>
          <w:b/>
          <w:bCs/>
          <w:kern w:val="0"/>
          <w:sz w:val="22"/>
          <w:szCs w:val="22"/>
        </w:rPr>
      </w:pPr>
    </w:p>
    <w:p w14:paraId="0D1FFCFD" w14:textId="68B99C16" w:rsidR="00C267FD" w:rsidRPr="00E76549" w:rsidRDefault="00AA7BA6" w:rsidP="00F034BC">
      <w:pPr>
        <w:autoSpaceDE w:val="0"/>
        <w:autoSpaceDN w:val="0"/>
        <w:adjustRightInd w:val="0"/>
        <w:spacing w:after="0" w:line="240" w:lineRule="auto"/>
        <w:jc w:val="both"/>
        <w:rPr>
          <w:rFonts w:ascii="CIDFont+F5" w:hAnsi="CIDFont+F5" w:cs="CIDFont+F5"/>
          <w:kern w:val="0"/>
          <w:sz w:val="22"/>
          <w:szCs w:val="22"/>
        </w:rPr>
      </w:pPr>
      <w:r w:rsidRPr="00E76549">
        <w:rPr>
          <w:rFonts w:ascii="CIDFont+F5" w:hAnsi="CIDFont+F5" w:cs="CIDFont+F5"/>
          <w:kern w:val="0"/>
          <w:sz w:val="22"/>
          <w:szCs w:val="22"/>
        </w:rPr>
        <w:t xml:space="preserve">La norma dispone </w:t>
      </w:r>
      <w:r w:rsidR="00C267FD" w:rsidRPr="00E76549">
        <w:rPr>
          <w:rFonts w:ascii="CIDFont+F5" w:hAnsi="CIDFont+F5" w:cs="CIDFont+F5"/>
          <w:kern w:val="0"/>
          <w:sz w:val="22"/>
          <w:szCs w:val="22"/>
        </w:rPr>
        <w:t>la proroga per il 2025 e 2026 della deroga ai 18 mesi di mandato previsti dalla Legge 56/14 per la candidatura in Provincia, una norma che ci è essenziale, considerato che anche nei prossimi due anni ci saranno turni amministrativi comunali significativi.</w:t>
      </w:r>
    </w:p>
    <w:p w14:paraId="71BB8ED1" w14:textId="77777777" w:rsidR="00AA7BA6" w:rsidRPr="00E76549" w:rsidRDefault="00AA7BA6" w:rsidP="00F034BC">
      <w:pPr>
        <w:autoSpaceDE w:val="0"/>
        <w:autoSpaceDN w:val="0"/>
        <w:adjustRightInd w:val="0"/>
        <w:spacing w:after="0" w:line="240" w:lineRule="auto"/>
        <w:jc w:val="both"/>
        <w:rPr>
          <w:rFonts w:ascii="CIDFont+F5" w:hAnsi="CIDFont+F5" w:cs="CIDFont+F5"/>
          <w:kern w:val="0"/>
          <w:sz w:val="22"/>
          <w:szCs w:val="22"/>
        </w:rPr>
      </w:pPr>
    </w:p>
    <w:p w14:paraId="75AB264A"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L’articolo 21-bis, introdotto nel corso dell’esame in sede referente, prevede, al comma 1, che non si applica per gli anni 2025 e 2026 il termine di cui al comma 60 dell’articolo 1 della legge n. 56 del 201, ai sensi del quale, in via generale, sono eleggibili a presidente della provincia i sindaci della provincia il cui mandato scada non prima di diciotto mesi dalla data di svolgimento delle elezioni.</w:t>
      </w:r>
    </w:p>
    <w:p w14:paraId="41E8EA8E"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Relativamente alla previsione del comma 1 dell’articolo 21-bis in commento, introdotto nel corso dell’esame in sede referente, si ricorda che in base al sistema elettorale provinciale definito dalla legge n. 56 del 2014:</w:t>
      </w:r>
    </w:p>
    <w:p w14:paraId="1F7B253A" w14:textId="77777777" w:rsidR="0088088F" w:rsidRPr="00E76549" w:rsidRDefault="0088088F" w:rsidP="00F034BC">
      <w:pPr>
        <w:numPr>
          <w:ilvl w:val="0"/>
          <w:numId w:val="1"/>
        </w:numPr>
        <w:spacing w:after="0"/>
        <w:jc w:val="both"/>
        <w:rPr>
          <w:rFonts w:ascii="CIDFont+F5" w:hAnsi="CIDFont+F5" w:cs="CIDFont+F5"/>
          <w:kern w:val="0"/>
          <w:sz w:val="22"/>
          <w:szCs w:val="22"/>
        </w:rPr>
      </w:pPr>
      <w:r w:rsidRPr="00E76549">
        <w:rPr>
          <w:rFonts w:ascii="CIDFont+F5" w:hAnsi="CIDFont+F5" w:cs="CIDFont+F5"/>
          <w:kern w:val="0"/>
          <w:sz w:val="22"/>
          <w:szCs w:val="22"/>
        </w:rPr>
        <w:t xml:space="preserve">l’elezione del presidente della provincia è di secondo grado, essendo lo stesso eletto dai sindaci e dai consiglieri dei comuni della </w:t>
      </w:r>
      <w:proofErr w:type="gramStart"/>
      <w:r w:rsidRPr="00E76549">
        <w:rPr>
          <w:rFonts w:ascii="CIDFont+F5" w:hAnsi="CIDFont+F5" w:cs="CIDFont+F5"/>
          <w:kern w:val="0"/>
          <w:sz w:val="22"/>
          <w:szCs w:val="22"/>
        </w:rPr>
        <w:t>provincia(</w:t>
      </w:r>
      <w:bookmarkStart w:id="3" w:name="r-w2aaab2c76b8ab1"/>
      <w:proofErr w:type="gramEnd"/>
      <w:r w:rsidRPr="00E76549">
        <w:rPr>
          <w:rFonts w:ascii="CIDFont+F5" w:hAnsi="CIDFont+F5" w:cs="CIDFont+F5"/>
          <w:kern w:val="0"/>
          <w:sz w:val="22"/>
          <w:szCs w:val="22"/>
        </w:rPr>
        <w:fldChar w:fldCharType="begin"/>
      </w:r>
      <w:r w:rsidRPr="00E76549">
        <w:rPr>
          <w:rFonts w:ascii="CIDFont+F5" w:hAnsi="CIDFont+F5" w:cs="CIDFont+F5"/>
          <w:kern w:val="0"/>
          <w:sz w:val="22"/>
          <w:szCs w:val="22"/>
        </w:rPr>
        <w:instrText>HYPERLINK "https://www.senato.it/japp/bgt/showdoc/" \l "n-w2aaab2c76b8ab1"</w:instrText>
      </w:r>
      <w:r w:rsidRPr="00E76549">
        <w:rPr>
          <w:rFonts w:ascii="CIDFont+F5" w:hAnsi="CIDFont+F5" w:cs="CIDFont+F5"/>
          <w:kern w:val="0"/>
          <w:sz w:val="22"/>
          <w:szCs w:val="22"/>
        </w:rPr>
      </w:r>
      <w:r w:rsidRPr="00E76549">
        <w:rPr>
          <w:rFonts w:ascii="CIDFont+F5" w:hAnsi="CIDFont+F5" w:cs="CIDFont+F5"/>
          <w:kern w:val="0"/>
          <w:sz w:val="22"/>
          <w:szCs w:val="22"/>
        </w:rPr>
        <w:fldChar w:fldCharType="separate"/>
      </w:r>
      <w:r w:rsidRPr="00E76549">
        <w:rPr>
          <w:rFonts w:ascii="CIDFont+F5" w:hAnsi="CIDFont+F5" w:cs="CIDFont+F5"/>
          <w:kern w:val="0"/>
          <w:sz w:val="22"/>
          <w:szCs w:val="22"/>
        </w:rPr>
        <w:t>60</w:t>
      </w:r>
      <w:r w:rsidRPr="00E76549">
        <w:rPr>
          <w:rFonts w:ascii="CIDFont+F5" w:hAnsi="CIDFont+F5" w:cs="CIDFont+F5"/>
          <w:kern w:val="0"/>
          <w:sz w:val="22"/>
          <w:szCs w:val="22"/>
        </w:rPr>
        <w:fldChar w:fldCharType="end"/>
      </w:r>
      <w:bookmarkEnd w:id="3"/>
      <w:r w:rsidRPr="00E76549">
        <w:rPr>
          <w:rFonts w:ascii="CIDFont+F5" w:hAnsi="CIDFont+F5" w:cs="CIDFont+F5"/>
          <w:kern w:val="0"/>
          <w:sz w:val="22"/>
          <w:szCs w:val="22"/>
        </w:rPr>
        <w:t>) ;</w:t>
      </w:r>
    </w:p>
    <w:p w14:paraId="524FDB2A" w14:textId="77777777" w:rsidR="0088088F" w:rsidRDefault="0088088F" w:rsidP="00F034BC">
      <w:pPr>
        <w:numPr>
          <w:ilvl w:val="0"/>
          <w:numId w:val="1"/>
        </w:numPr>
        <w:spacing w:after="0"/>
        <w:jc w:val="both"/>
        <w:rPr>
          <w:rFonts w:ascii="CIDFont+F5" w:hAnsi="CIDFont+F5" w:cs="CIDFont+F5"/>
          <w:kern w:val="0"/>
          <w:sz w:val="22"/>
          <w:szCs w:val="22"/>
        </w:rPr>
      </w:pPr>
      <w:r w:rsidRPr="00E76549">
        <w:rPr>
          <w:rFonts w:ascii="CIDFont+F5" w:hAnsi="CIDFont+F5" w:cs="CIDFont+F5"/>
          <w:kern w:val="0"/>
          <w:sz w:val="22"/>
          <w:szCs w:val="22"/>
        </w:rPr>
        <w:t>hanno diritto di elettorato passivo i sindaci della provincia il cui mandato scada non prima di 18 mesi dalla data delle elezioni (articolo 1, comma 60, della legge n. 56 del 2014).</w:t>
      </w:r>
    </w:p>
    <w:p w14:paraId="535FEDA2" w14:textId="77777777" w:rsidR="00D50199" w:rsidRPr="00E76549" w:rsidRDefault="00D50199" w:rsidP="00D50199">
      <w:pPr>
        <w:spacing w:after="0"/>
        <w:ind w:left="720"/>
        <w:jc w:val="both"/>
        <w:rPr>
          <w:rFonts w:ascii="CIDFont+F5" w:hAnsi="CIDFont+F5" w:cs="CIDFont+F5"/>
          <w:kern w:val="0"/>
          <w:sz w:val="22"/>
          <w:szCs w:val="22"/>
        </w:rPr>
      </w:pPr>
    </w:p>
    <w:p w14:paraId="5C97C3D5" w14:textId="77777777" w:rsidR="0088088F"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La modifica disposta dal comma 1 dell’articolo in commento incide su tale ultima previsione estendendo, limitatamente agli anni 2025 e 2026, l’elettorato passivo anche ai sindaci il cui mandato scada prima di diciotto mesi dalla data di svolgimento delle elezioni provinciali. Pertanto, per effetto della norma in esame, per gli anni 2025 e 2026, non è più richiesta una durata minima residua del mandato di sindaco per potersi candidare alle elezioni di presidente della provincia, fermo restando che il presidente della provincia (che dura in carica quattro anni) decade in caso di cessazione dalla carica di sindaco (articolo 1, comma 65, della legge n 56 del 2014).</w:t>
      </w:r>
    </w:p>
    <w:p w14:paraId="180C91B0" w14:textId="77777777" w:rsidR="00D50199" w:rsidRPr="00E76549" w:rsidRDefault="00D50199" w:rsidP="00F034BC">
      <w:pPr>
        <w:spacing w:after="0"/>
        <w:jc w:val="both"/>
        <w:rPr>
          <w:rFonts w:ascii="CIDFont+F5" w:hAnsi="CIDFont+F5" w:cs="CIDFont+F5"/>
          <w:kern w:val="0"/>
          <w:sz w:val="22"/>
          <w:szCs w:val="22"/>
        </w:rPr>
      </w:pPr>
    </w:p>
    <w:p w14:paraId="45409998" w14:textId="77777777" w:rsidR="0088088F" w:rsidRPr="00E76549" w:rsidRDefault="0088088F" w:rsidP="00F034BC">
      <w:pPr>
        <w:spacing w:after="0"/>
        <w:jc w:val="both"/>
        <w:rPr>
          <w:rFonts w:ascii="CIDFont+F5" w:hAnsi="CIDFont+F5" w:cs="CIDFont+F5"/>
          <w:kern w:val="0"/>
          <w:sz w:val="22"/>
          <w:szCs w:val="22"/>
        </w:rPr>
      </w:pPr>
      <w:r w:rsidRPr="00E76549">
        <w:rPr>
          <w:rFonts w:ascii="CIDFont+F5" w:hAnsi="CIDFont+F5" w:cs="CIDFont+F5"/>
          <w:kern w:val="0"/>
          <w:sz w:val="22"/>
          <w:szCs w:val="22"/>
        </w:rPr>
        <w:t xml:space="preserve">Sulla medesima disposizione di cui al comma 60 dell’articolo 1 della legge n. 56 del 2014 sono intervenuti, in precedenza, l’articolo 1, comma 2, del </w:t>
      </w:r>
      <w:proofErr w:type="gramStart"/>
      <w:r w:rsidRPr="00E76549">
        <w:rPr>
          <w:rFonts w:ascii="CIDFont+F5" w:hAnsi="CIDFont+F5" w:cs="CIDFont+F5"/>
          <w:kern w:val="0"/>
          <w:sz w:val="22"/>
          <w:szCs w:val="22"/>
        </w:rPr>
        <w:t>decreto legge</w:t>
      </w:r>
      <w:proofErr w:type="gramEnd"/>
      <w:r w:rsidRPr="00E76549">
        <w:rPr>
          <w:rFonts w:ascii="CIDFont+F5" w:hAnsi="CIDFont+F5" w:cs="CIDFont+F5"/>
          <w:kern w:val="0"/>
          <w:sz w:val="22"/>
          <w:szCs w:val="22"/>
        </w:rPr>
        <w:t xml:space="preserve"> n. 91 del 2018 (che - limitatamente alla tornata elettorale del 31 ottobre 2018 – ha stabilito l’eleggibilità alla carica di presidente della provincia dei sindaci il cui mandato scadeva. non prima di 12 mesi dalle elezioni) e l’articolo 17-bis, comma 1, del </w:t>
      </w:r>
      <w:proofErr w:type="gramStart"/>
      <w:r w:rsidRPr="00E76549">
        <w:rPr>
          <w:rFonts w:ascii="CIDFont+F5" w:hAnsi="CIDFont+F5" w:cs="CIDFont+F5"/>
          <w:kern w:val="0"/>
          <w:sz w:val="22"/>
          <w:szCs w:val="22"/>
        </w:rPr>
        <w:t>decreto legge</w:t>
      </w:r>
      <w:proofErr w:type="gramEnd"/>
      <w:r w:rsidRPr="00E76549">
        <w:rPr>
          <w:rFonts w:ascii="CIDFont+F5" w:hAnsi="CIDFont+F5" w:cs="CIDFont+F5"/>
          <w:kern w:val="0"/>
          <w:sz w:val="22"/>
          <w:szCs w:val="22"/>
        </w:rPr>
        <w:t xml:space="preserve"> n. 162 del 2019 (che ha previsto la non applicabilità della disposizione di cui al citato comma 60 per gli anni 2020 e 2021).</w:t>
      </w:r>
    </w:p>
    <w:sectPr w:rsidR="0088088F" w:rsidRPr="00E76549" w:rsidSect="00CF6AB0">
      <w:footerReference w:type="default" r:id="rId14"/>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AD490" w14:textId="77777777" w:rsidR="00230312" w:rsidRDefault="00230312" w:rsidP="00CF6AB0">
      <w:pPr>
        <w:spacing w:after="0" w:line="240" w:lineRule="auto"/>
      </w:pPr>
      <w:r>
        <w:separator/>
      </w:r>
    </w:p>
  </w:endnote>
  <w:endnote w:type="continuationSeparator" w:id="0">
    <w:p w14:paraId="1EB1FBEF" w14:textId="77777777" w:rsidR="00230312" w:rsidRDefault="00230312" w:rsidP="00CF6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IDFont+F3">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558511"/>
      <w:docPartObj>
        <w:docPartGallery w:val="Page Numbers (Bottom of Page)"/>
        <w:docPartUnique/>
      </w:docPartObj>
    </w:sdtPr>
    <w:sdtContent>
      <w:p w14:paraId="5C2CC47D" w14:textId="725D1336" w:rsidR="00CF6AB0" w:rsidRDefault="00CF6AB0">
        <w:pPr>
          <w:pStyle w:val="Pidipagina"/>
          <w:jc w:val="right"/>
        </w:pPr>
        <w:r>
          <w:fldChar w:fldCharType="begin"/>
        </w:r>
        <w:r>
          <w:instrText>PAGE   \* MERGEFORMAT</w:instrText>
        </w:r>
        <w:r>
          <w:fldChar w:fldCharType="separate"/>
        </w:r>
        <w:r>
          <w:t>2</w:t>
        </w:r>
        <w:r>
          <w:fldChar w:fldCharType="end"/>
        </w:r>
      </w:p>
    </w:sdtContent>
  </w:sdt>
  <w:p w14:paraId="1265BC3B" w14:textId="77777777" w:rsidR="00CF6AB0" w:rsidRDefault="00CF6A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D5419" w14:textId="77777777" w:rsidR="00230312" w:rsidRDefault="00230312" w:rsidP="00CF6AB0">
      <w:pPr>
        <w:spacing w:after="0" w:line="240" w:lineRule="auto"/>
      </w:pPr>
      <w:r>
        <w:separator/>
      </w:r>
    </w:p>
  </w:footnote>
  <w:footnote w:type="continuationSeparator" w:id="0">
    <w:p w14:paraId="39977B99" w14:textId="77777777" w:rsidR="00230312" w:rsidRDefault="00230312" w:rsidP="00CF6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D798E"/>
    <w:multiLevelType w:val="multilevel"/>
    <w:tmpl w:val="145674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84385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CA3"/>
    <w:rsid w:val="000445A2"/>
    <w:rsid w:val="000C53E8"/>
    <w:rsid w:val="0015070C"/>
    <w:rsid w:val="001535C6"/>
    <w:rsid w:val="001B5A42"/>
    <w:rsid w:val="00230312"/>
    <w:rsid w:val="002D77C9"/>
    <w:rsid w:val="0032664D"/>
    <w:rsid w:val="00474739"/>
    <w:rsid w:val="005326D7"/>
    <w:rsid w:val="00631B97"/>
    <w:rsid w:val="00687168"/>
    <w:rsid w:val="00763E9A"/>
    <w:rsid w:val="007B2693"/>
    <w:rsid w:val="0088088F"/>
    <w:rsid w:val="008B1A1B"/>
    <w:rsid w:val="008E14BF"/>
    <w:rsid w:val="009B6BD7"/>
    <w:rsid w:val="00AA7BA6"/>
    <w:rsid w:val="00BA7CA3"/>
    <w:rsid w:val="00C267FD"/>
    <w:rsid w:val="00CF6AB0"/>
    <w:rsid w:val="00D50199"/>
    <w:rsid w:val="00D55382"/>
    <w:rsid w:val="00D708FD"/>
    <w:rsid w:val="00DB2601"/>
    <w:rsid w:val="00E76549"/>
    <w:rsid w:val="00E77FA9"/>
    <w:rsid w:val="00E8419F"/>
    <w:rsid w:val="00F034BC"/>
    <w:rsid w:val="00FB3E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C0B9D"/>
  <w15:chartTrackingRefBased/>
  <w15:docId w15:val="{093DCE82-E2C1-4EED-A98B-43530A32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A7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A7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A7CA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A7CA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A7CA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A7CA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A7CA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A7CA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A7CA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A7CA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A7CA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A7CA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A7CA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A7CA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A7CA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A7CA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A7CA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A7CA3"/>
    <w:rPr>
      <w:rFonts w:eastAsiaTheme="majorEastAsia" w:cstheme="majorBidi"/>
      <w:color w:val="272727" w:themeColor="text1" w:themeTint="D8"/>
    </w:rPr>
  </w:style>
  <w:style w:type="paragraph" w:styleId="Titolo">
    <w:name w:val="Title"/>
    <w:basedOn w:val="Normale"/>
    <w:next w:val="Normale"/>
    <w:link w:val="TitoloCarattere"/>
    <w:uiPriority w:val="10"/>
    <w:qFormat/>
    <w:rsid w:val="00BA7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A7CA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A7CA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A7CA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A7CA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A7CA3"/>
    <w:rPr>
      <w:i/>
      <w:iCs/>
      <w:color w:val="404040" w:themeColor="text1" w:themeTint="BF"/>
    </w:rPr>
  </w:style>
  <w:style w:type="paragraph" w:styleId="Paragrafoelenco">
    <w:name w:val="List Paragraph"/>
    <w:basedOn w:val="Normale"/>
    <w:uiPriority w:val="34"/>
    <w:qFormat/>
    <w:rsid w:val="00BA7CA3"/>
    <w:pPr>
      <w:ind w:left="720"/>
      <w:contextualSpacing/>
    </w:pPr>
  </w:style>
  <w:style w:type="character" w:styleId="Enfasiintensa">
    <w:name w:val="Intense Emphasis"/>
    <w:basedOn w:val="Carpredefinitoparagrafo"/>
    <w:uiPriority w:val="21"/>
    <w:qFormat/>
    <w:rsid w:val="00BA7CA3"/>
    <w:rPr>
      <w:i/>
      <w:iCs/>
      <w:color w:val="0F4761" w:themeColor="accent1" w:themeShade="BF"/>
    </w:rPr>
  </w:style>
  <w:style w:type="paragraph" w:styleId="Citazioneintensa">
    <w:name w:val="Intense Quote"/>
    <w:basedOn w:val="Normale"/>
    <w:next w:val="Normale"/>
    <w:link w:val="CitazioneintensaCarattere"/>
    <w:uiPriority w:val="30"/>
    <w:qFormat/>
    <w:rsid w:val="00BA7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A7CA3"/>
    <w:rPr>
      <w:i/>
      <w:iCs/>
      <w:color w:val="0F4761" w:themeColor="accent1" w:themeShade="BF"/>
    </w:rPr>
  </w:style>
  <w:style w:type="character" w:styleId="Riferimentointenso">
    <w:name w:val="Intense Reference"/>
    <w:basedOn w:val="Carpredefinitoparagrafo"/>
    <w:uiPriority w:val="32"/>
    <w:qFormat/>
    <w:rsid w:val="00BA7CA3"/>
    <w:rPr>
      <w:b/>
      <w:bCs/>
      <w:smallCaps/>
      <w:color w:val="0F4761" w:themeColor="accent1" w:themeShade="BF"/>
      <w:spacing w:val="5"/>
    </w:rPr>
  </w:style>
  <w:style w:type="character" w:styleId="Collegamentoipertestuale">
    <w:name w:val="Hyperlink"/>
    <w:basedOn w:val="Carpredefinitoparagrafo"/>
    <w:uiPriority w:val="99"/>
    <w:unhideWhenUsed/>
    <w:rsid w:val="0088088F"/>
    <w:rPr>
      <w:color w:val="467886" w:themeColor="hyperlink"/>
      <w:u w:val="single"/>
    </w:rPr>
  </w:style>
  <w:style w:type="paragraph" w:styleId="Intestazione">
    <w:name w:val="header"/>
    <w:basedOn w:val="Normale"/>
    <w:link w:val="IntestazioneCarattere"/>
    <w:uiPriority w:val="99"/>
    <w:unhideWhenUsed/>
    <w:rsid w:val="00CF6AB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F6AB0"/>
  </w:style>
  <w:style w:type="paragraph" w:styleId="Pidipagina">
    <w:name w:val="footer"/>
    <w:basedOn w:val="Normale"/>
    <w:link w:val="PidipaginaCarattere"/>
    <w:uiPriority w:val="99"/>
    <w:unhideWhenUsed/>
    <w:rsid w:val="00CF6AB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6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mattiva.it/uri-res/N2Ls?urn:nir:stato:decreto.legge:2023;13~art15bi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rmattiva.it/uri-res/N2Ls?urn:nir:stato:decreto.legge:2023-04-22;4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0CEF5C92AA543459A83F84B2E17E3A9" ma:contentTypeVersion="9" ma:contentTypeDescription="Creare un nuovo documento." ma:contentTypeScope="" ma:versionID="a7cb2bba406961941ece8d6652dc267a">
  <xsd:schema xmlns:xsd="http://www.w3.org/2001/XMLSchema" xmlns:xs="http://www.w3.org/2001/XMLSchema" xmlns:p="http://schemas.microsoft.com/office/2006/metadata/properties" xmlns:ns3="6f89a1cd-2f99-4acf-9e3e-05ed546776e9" targetNamespace="http://schemas.microsoft.com/office/2006/metadata/properties" ma:root="true" ma:fieldsID="241db764c9798d20dbd7714d215b7e1c" ns3:_="">
    <xsd:import namespace="6f89a1cd-2f99-4acf-9e3e-05ed546776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a1cd-2f99-4acf-9e3e-05ed54677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906AE8-2DB6-4A13-A407-9D26EC9AD2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E96868-55BF-4C02-B434-AA673692D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a1cd-2f99-4acf-9e3e-05ed54677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D186B-98C9-4625-988D-23D6F6FE61F1}">
  <ds:schemaRefs>
    <ds:schemaRef ds:uri="http://schemas.openxmlformats.org/officeDocument/2006/bibliography"/>
  </ds:schemaRefs>
</ds:datastoreItem>
</file>

<file path=customXml/itemProps4.xml><?xml version="1.0" encoding="utf-8"?>
<ds:datastoreItem xmlns:ds="http://schemas.openxmlformats.org/officeDocument/2006/customXml" ds:itemID="{B986ECF0-A107-4EB5-BEC3-FE00E8AB0E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6922</Words>
  <Characters>39461</Characters>
  <Application>Microsoft Office Word</Application>
  <DocSecurity>0</DocSecurity>
  <Lines>328</Lines>
  <Paragraphs>92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upi3</dc:creator>
  <cp:keywords/>
  <dc:description/>
  <cp:lastModifiedBy>upi2</cp:lastModifiedBy>
  <cp:revision>2</cp:revision>
  <dcterms:created xsi:type="dcterms:W3CDTF">2025-02-26T10:32:00Z</dcterms:created>
  <dcterms:modified xsi:type="dcterms:W3CDTF">2025-02-26T10:32:00Z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0x010100D0CEF5C92AA543459A83F84B2E17E3A9</vt:lpwstr>
  </property>
</Properties>
</file>