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D95D" w14:textId="36459B85" w:rsidR="00360070" w:rsidRDefault="0035717D">
      <w:r>
        <w:rPr>
          <w:noProof/>
        </w:rPr>
        <w:drawing>
          <wp:inline distT="0" distB="0" distL="0" distR="0" wp14:anchorId="2955B076" wp14:editId="7C2066A0">
            <wp:extent cx="1162050" cy="958605"/>
            <wp:effectExtent l="0" t="0" r="0" b="0"/>
            <wp:docPr id="116972762" name="Immagine 1" descr="Immagine che contiene disegno, log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2762" name="Immagine 1" descr="Immagine che contiene disegno, logo, illustrazione&#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845" cy="962561"/>
                    </a:xfrm>
                    <a:prstGeom prst="rect">
                      <a:avLst/>
                    </a:prstGeom>
                  </pic:spPr>
                </pic:pic>
              </a:graphicData>
            </a:graphic>
          </wp:inline>
        </w:drawing>
      </w:r>
    </w:p>
    <w:p w14:paraId="7262C389" w14:textId="31DD393D" w:rsidR="00360070" w:rsidRPr="0035717D" w:rsidRDefault="00360070" w:rsidP="0035717D">
      <w:pPr>
        <w:jc w:val="center"/>
        <w:rPr>
          <w:b/>
          <w:bCs/>
        </w:rPr>
      </w:pPr>
      <w:r w:rsidRPr="0035717D">
        <w:rPr>
          <w:b/>
          <w:bCs/>
        </w:rPr>
        <w:t>EMENDAMENTO</w:t>
      </w:r>
    </w:p>
    <w:p w14:paraId="39B0124B" w14:textId="77777777" w:rsidR="00360070" w:rsidRPr="0035717D" w:rsidRDefault="00360070" w:rsidP="0035717D">
      <w:pPr>
        <w:jc w:val="center"/>
        <w:rPr>
          <w:b/>
          <w:bCs/>
        </w:rPr>
      </w:pPr>
    </w:p>
    <w:p w14:paraId="3A333827" w14:textId="0EE9B15B" w:rsidR="00360070" w:rsidRPr="0035717D" w:rsidRDefault="00360070" w:rsidP="0035717D">
      <w:pPr>
        <w:jc w:val="center"/>
        <w:rPr>
          <w:b/>
          <w:bCs/>
        </w:rPr>
      </w:pPr>
      <w:r w:rsidRPr="0035717D">
        <w:rPr>
          <w:b/>
          <w:bCs/>
        </w:rPr>
        <w:t>AC 2416</w:t>
      </w:r>
    </w:p>
    <w:p w14:paraId="00D6250C" w14:textId="5DB145BA" w:rsidR="00360070" w:rsidRPr="00360070" w:rsidRDefault="00360070" w:rsidP="0035717D">
      <w:pPr>
        <w:spacing w:before="100" w:beforeAutospacing="1" w:after="100" w:afterAutospacing="1" w:line="240" w:lineRule="auto"/>
        <w:jc w:val="center"/>
        <w:rPr>
          <w:rFonts w:eastAsia="Times New Roman" w:cs="Times New Roman"/>
          <w:i/>
          <w:iCs/>
          <w:kern w:val="0"/>
          <w:lang w:eastAsia="it-IT"/>
          <w14:ligatures w14:val="none"/>
        </w:rPr>
      </w:pPr>
      <w:r w:rsidRPr="00360070">
        <w:rPr>
          <w:rFonts w:eastAsia="Times New Roman" w:cs="Times New Roman"/>
          <w:kern w:val="0"/>
          <w:lang w:eastAsia="it-IT"/>
          <w14:ligatures w14:val="none"/>
        </w:rPr>
        <w:t>"</w:t>
      </w:r>
      <w:r w:rsidRPr="00360070">
        <w:rPr>
          <w:rFonts w:eastAsia="Times New Roman" w:cs="Times New Roman"/>
          <w:i/>
          <w:iCs/>
          <w:kern w:val="0"/>
          <w:lang w:eastAsia="it-IT"/>
          <w14:ligatures w14:val="none"/>
        </w:rPr>
        <w:t xml:space="preserve">Conversione in legge del decreto-legge 21 maggio 2025, n. 73, recante misure urgenti per garantire la continuità nella realizzazione di infrastrutture strategiche e nella gestione di contratti pubblici, il corretto funzionamento del sistema di trasporti ferroviari e su strada, l’ordinata gestione del demanio portuale e marittimo, nonché l’attuazione di indifferibili adempimenti connessi al Piano nazionale di ripresa e resilienza e alla partecipazione all’Unione europea in materia di infrastrutture e trasporti" </w:t>
      </w:r>
    </w:p>
    <w:p w14:paraId="119F4BA0" w14:textId="77777777" w:rsidR="00360070" w:rsidRPr="0035717D" w:rsidRDefault="00360070" w:rsidP="0035717D">
      <w:pPr>
        <w:jc w:val="right"/>
      </w:pPr>
    </w:p>
    <w:p w14:paraId="5A41AC4E" w14:textId="24A62245" w:rsidR="00360070" w:rsidRPr="00CF6CDF" w:rsidRDefault="00CF6CDF" w:rsidP="00CF6CDF">
      <w:pPr>
        <w:spacing w:after="0"/>
        <w:jc w:val="center"/>
        <w:rPr>
          <w:b/>
          <w:bCs/>
          <w:i/>
          <w:iCs/>
        </w:rPr>
      </w:pPr>
      <w:r w:rsidRPr="00CF6CDF">
        <w:rPr>
          <w:b/>
          <w:bCs/>
        </w:rPr>
        <w:t>Articolo 14</w:t>
      </w:r>
      <w:r w:rsidRPr="00CF6CDF">
        <w:rPr>
          <w:b/>
          <w:bCs/>
        </w:rPr>
        <w:br/>
      </w:r>
      <w:r w:rsidRPr="00CF6CDF">
        <w:rPr>
          <w:b/>
          <w:bCs/>
          <w:i/>
          <w:iCs/>
        </w:rPr>
        <w:t>(Interventi urgenti di ripristino e messa in sicurezza delle infrastrutture stradali di interesse nazionale nei territori colpiti dagli eventi alluvionali)</w:t>
      </w:r>
    </w:p>
    <w:p w14:paraId="55A379E9" w14:textId="77777777" w:rsidR="00CF6CDF" w:rsidRDefault="00CF6CDF" w:rsidP="00FF1B22">
      <w:pPr>
        <w:spacing w:after="0"/>
      </w:pPr>
    </w:p>
    <w:p w14:paraId="6E7D3F2D" w14:textId="495743AA" w:rsidR="00360070" w:rsidRPr="0035717D" w:rsidRDefault="00360070">
      <w:pPr>
        <w:rPr>
          <w:b/>
          <w:bCs/>
        </w:rPr>
      </w:pPr>
      <w:r w:rsidRPr="0035717D">
        <w:rPr>
          <w:b/>
          <w:bCs/>
        </w:rPr>
        <w:t xml:space="preserve">Dopo il comma </w:t>
      </w:r>
      <w:r w:rsidR="00CF6CDF">
        <w:rPr>
          <w:b/>
          <w:bCs/>
        </w:rPr>
        <w:t>1</w:t>
      </w:r>
      <w:r w:rsidRPr="0035717D">
        <w:rPr>
          <w:b/>
          <w:bCs/>
        </w:rPr>
        <w:t xml:space="preserve"> è aggiunto il seguente:</w:t>
      </w:r>
    </w:p>
    <w:p w14:paraId="6C68F1DC" w14:textId="276800BD" w:rsidR="00692FC9" w:rsidRDefault="0035717D">
      <w:pPr>
        <w:rPr>
          <w:rFonts w:asciiTheme="majorHAnsi" w:hAnsiTheme="majorHAnsi"/>
          <w:b/>
          <w:bCs/>
        </w:rPr>
      </w:pPr>
      <w:r>
        <w:rPr>
          <w:b/>
          <w:bCs/>
        </w:rPr>
        <w:t>“</w:t>
      </w:r>
      <w:r w:rsidR="00CF6CDF">
        <w:rPr>
          <w:b/>
          <w:bCs/>
        </w:rPr>
        <w:t>1</w:t>
      </w:r>
      <w:r w:rsidR="00360070" w:rsidRPr="0035717D">
        <w:rPr>
          <w:b/>
          <w:bCs/>
        </w:rPr>
        <w:t xml:space="preserve">bis. L’articolo 7, comma 4-novies </w:t>
      </w:r>
      <w:r>
        <w:rPr>
          <w:b/>
          <w:bCs/>
        </w:rPr>
        <w:t xml:space="preserve">del </w:t>
      </w:r>
      <w:r w:rsidR="00360070" w:rsidRPr="0035717D">
        <w:rPr>
          <w:b/>
          <w:bCs/>
        </w:rPr>
        <w:t xml:space="preserve">decreto legge 27 dicembre 2024, n. 202 convertito con </w:t>
      </w:r>
      <w:r w:rsidR="00360070" w:rsidRPr="0035717D">
        <w:rPr>
          <w:rFonts w:asciiTheme="majorHAnsi" w:hAnsiTheme="majorHAnsi"/>
          <w:b/>
          <w:bCs/>
        </w:rPr>
        <w:t>modificazioni dalla legge 21 febbraio 2025, n. 15, è s</w:t>
      </w:r>
      <w:r w:rsidR="00692FC9">
        <w:rPr>
          <w:rFonts w:asciiTheme="majorHAnsi" w:hAnsiTheme="majorHAnsi"/>
          <w:b/>
          <w:bCs/>
        </w:rPr>
        <w:t>ostituito dal seguente:</w:t>
      </w:r>
    </w:p>
    <w:p w14:paraId="1A9F681D" w14:textId="384EC17D" w:rsidR="00ED6D5C" w:rsidRPr="00915BBB" w:rsidRDefault="00692FC9" w:rsidP="00692FC9">
      <w:pPr>
        <w:rPr>
          <w:rFonts w:asciiTheme="majorHAnsi" w:hAnsiTheme="majorHAnsi"/>
          <w:b/>
          <w:bCs/>
          <w:i/>
          <w:iCs/>
        </w:rPr>
      </w:pPr>
      <w:r>
        <w:rPr>
          <w:rFonts w:asciiTheme="majorHAnsi" w:hAnsiTheme="majorHAnsi"/>
          <w:b/>
          <w:bCs/>
        </w:rPr>
        <w:t xml:space="preserve">4.novies. </w:t>
      </w:r>
      <w:r w:rsidR="00ED6D5C" w:rsidRPr="00915BBB">
        <w:rPr>
          <w:rFonts w:asciiTheme="majorHAnsi" w:hAnsiTheme="majorHAnsi"/>
          <w:b/>
          <w:bCs/>
          <w:i/>
          <w:iCs/>
        </w:rPr>
        <w:t xml:space="preserve">L’autorizzazione di spesa di cui all’articolo 1, comma 1076, della legge 27 dicembre 2017, n. 205, </w:t>
      </w:r>
      <w:r w:rsidR="00915BBB" w:rsidRPr="00915BBB">
        <w:rPr>
          <w:rFonts w:asciiTheme="majorHAnsi" w:hAnsiTheme="majorHAnsi"/>
          <w:b/>
          <w:bCs/>
          <w:i/>
          <w:iCs/>
        </w:rPr>
        <w:t xml:space="preserve">è incrementata </w:t>
      </w:r>
      <w:r w:rsidR="00ED6D5C" w:rsidRPr="00915BBB">
        <w:rPr>
          <w:rFonts w:asciiTheme="majorHAnsi" w:hAnsiTheme="majorHAnsi"/>
          <w:b/>
          <w:bCs/>
          <w:i/>
          <w:iCs/>
        </w:rPr>
        <w:t>nel limite di 175 milioni per ciascuno degli anni 2025 e 2026</w:t>
      </w:r>
      <w:r w:rsidR="00915BBB" w:rsidRPr="00915BBB">
        <w:rPr>
          <w:rFonts w:asciiTheme="majorHAnsi" w:hAnsiTheme="majorHAnsi"/>
          <w:b/>
          <w:bCs/>
          <w:i/>
          <w:iCs/>
        </w:rPr>
        <w:t>, ed</w:t>
      </w:r>
      <w:r w:rsidR="00ED6D5C" w:rsidRPr="00915BBB">
        <w:rPr>
          <w:rFonts w:asciiTheme="majorHAnsi" w:hAnsiTheme="majorHAnsi"/>
          <w:b/>
          <w:bCs/>
          <w:i/>
          <w:iCs/>
        </w:rPr>
        <w:t xml:space="preserve"> è ripartita tra le Province e le Città metropolitane</w:t>
      </w:r>
      <w:r w:rsidR="00915BBB" w:rsidRPr="00915BBB">
        <w:rPr>
          <w:rFonts w:asciiTheme="majorHAnsi" w:hAnsiTheme="majorHAnsi"/>
          <w:b/>
          <w:bCs/>
          <w:i/>
          <w:iCs/>
        </w:rPr>
        <w:t xml:space="preserve"> per le annualità dal 2025 al 2028</w:t>
      </w:r>
      <w:r w:rsidR="00ED6D5C" w:rsidRPr="00915BBB">
        <w:rPr>
          <w:rFonts w:asciiTheme="majorHAnsi" w:hAnsiTheme="majorHAnsi"/>
          <w:b/>
          <w:bCs/>
          <w:i/>
          <w:iCs/>
        </w:rPr>
        <w:t>,</w:t>
      </w:r>
      <w:r w:rsidR="00915BBB" w:rsidRPr="00915BBB">
        <w:rPr>
          <w:rFonts w:asciiTheme="majorHAnsi" w:hAnsiTheme="majorHAnsi"/>
          <w:b/>
          <w:bCs/>
          <w:i/>
          <w:iCs/>
        </w:rPr>
        <w:t xml:space="preserve"> per complessivi 1065 milioni</w:t>
      </w:r>
      <w:r w:rsidR="00ED6D5C" w:rsidRPr="00915BBB">
        <w:rPr>
          <w:rFonts w:asciiTheme="majorHAnsi" w:hAnsiTheme="majorHAnsi"/>
          <w:b/>
          <w:bCs/>
          <w:i/>
          <w:iCs/>
        </w:rPr>
        <w:t xml:space="preserve"> secondo la tabella </w:t>
      </w:r>
      <w:r>
        <w:rPr>
          <w:rFonts w:asciiTheme="majorHAnsi" w:hAnsiTheme="majorHAnsi"/>
          <w:b/>
          <w:bCs/>
          <w:i/>
          <w:iCs/>
        </w:rPr>
        <w:t>D</w:t>
      </w:r>
      <w:r w:rsidR="00ED6D5C" w:rsidRPr="00915BBB">
        <w:rPr>
          <w:rFonts w:asciiTheme="majorHAnsi" w:hAnsiTheme="majorHAnsi"/>
          <w:b/>
          <w:bCs/>
          <w:i/>
          <w:iCs/>
        </w:rPr>
        <w:t xml:space="preserve"> allegata al presente decreto</w:t>
      </w:r>
      <w:r>
        <w:rPr>
          <w:rFonts w:asciiTheme="majorHAnsi" w:hAnsiTheme="majorHAnsi"/>
          <w:b/>
          <w:bCs/>
          <w:i/>
          <w:iCs/>
        </w:rPr>
        <w:t>”.</w:t>
      </w:r>
    </w:p>
    <w:p w14:paraId="02DD3F61" w14:textId="4252A7CD" w:rsidR="00ED6D5C" w:rsidRPr="003152EF" w:rsidRDefault="00CF6CDF" w:rsidP="00ED6D5C">
      <w:pPr>
        <w:rPr>
          <w:rFonts w:asciiTheme="majorHAnsi" w:hAnsiTheme="majorHAnsi"/>
          <w:i/>
          <w:iCs/>
        </w:rPr>
      </w:pPr>
      <w:r>
        <w:rPr>
          <w:rFonts w:asciiTheme="majorHAnsi" w:hAnsiTheme="majorHAnsi"/>
          <w:i/>
          <w:iCs/>
        </w:rPr>
        <w:t>Conseguentemente, alla rubrica, sopprimere le parole da “interesse nazionale” fino alla fine</w:t>
      </w:r>
    </w:p>
    <w:p w14:paraId="071D4328" w14:textId="77777777" w:rsidR="00ED6D5C" w:rsidRDefault="00ED6D5C" w:rsidP="00ED6D5C">
      <w:pPr>
        <w:rPr>
          <w:rFonts w:asciiTheme="majorHAnsi" w:hAnsiTheme="majorHAnsi"/>
        </w:rPr>
      </w:pPr>
    </w:p>
    <w:p w14:paraId="65EAD56E" w14:textId="77777777" w:rsidR="00ED6D5C" w:rsidRDefault="00ED6D5C" w:rsidP="00ED6D5C">
      <w:pPr>
        <w:rPr>
          <w:rFonts w:asciiTheme="majorHAnsi" w:hAnsiTheme="majorHAnsi"/>
        </w:rPr>
      </w:pPr>
    </w:p>
    <w:p w14:paraId="214CCE8A" w14:textId="77777777" w:rsidR="00ED6D5C" w:rsidRDefault="00ED6D5C" w:rsidP="00ED6D5C">
      <w:pPr>
        <w:rPr>
          <w:rFonts w:asciiTheme="majorHAnsi" w:hAnsiTheme="majorHAnsi"/>
        </w:rPr>
      </w:pPr>
    </w:p>
    <w:p w14:paraId="7A2FFDC0" w14:textId="77777777" w:rsidR="00ED6D5C" w:rsidRDefault="00ED6D5C" w:rsidP="00ED6D5C">
      <w:pPr>
        <w:rPr>
          <w:rFonts w:asciiTheme="majorHAnsi" w:hAnsiTheme="majorHAnsi"/>
        </w:rPr>
      </w:pPr>
    </w:p>
    <w:p w14:paraId="49F37C57" w14:textId="77777777" w:rsidR="00ED6D5C" w:rsidRDefault="00ED6D5C" w:rsidP="00ED6D5C">
      <w:pPr>
        <w:rPr>
          <w:rFonts w:asciiTheme="majorHAnsi" w:hAnsiTheme="majorHAnsi"/>
        </w:rPr>
      </w:pPr>
    </w:p>
    <w:p w14:paraId="356603DB" w14:textId="3FAF4001" w:rsidR="003152EF" w:rsidRDefault="003152EF" w:rsidP="003152EF">
      <w:pPr>
        <w:spacing w:after="0" w:line="240" w:lineRule="auto"/>
      </w:pPr>
      <w:r>
        <w:rPr>
          <w:rFonts w:asciiTheme="majorHAnsi" w:hAnsiTheme="majorHAnsi"/>
        </w:rPr>
        <w:fldChar w:fldCharType="begin"/>
      </w:r>
      <w:r>
        <w:rPr>
          <w:rFonts w:asciiTheme="majorHAnsi" w:hAnsiTheme="majorHAnsi"/>
        </w:rPr>
        <w:instrText xml:space="preserve"> LINK </w:instrText>
      </w:r>
      <w:r w:rsidR="00CF6CDF">
        <w:rPr>
          <w:rFonts w:asciiTheme="majorHAnsi" w:hAnsiTheme="majorHAnsi"/>
        </w:rPr>
        <w:instrText xml:space="preserve">Excel.Sheet.12 "C:\\vecchio pc\\Documenti\\Copia di All 3 - Piano di riparto Rimodulato dm 101 mit.xlsx" 175!R3C2:R103C4 </w:instrText>
      </w:r>
      <w:r>
        <w:rPr>
          <w:rFonts w:asciiTheme="majorHAnsi" w:hAnsiTheme="majorHAnsi"/>
        </w:rPr>
        <w:instrText xml:space="preserve">\a \f 5 \h  \* MERGEFORMAT </w:instrText>
      </w:r>
      <w:r>
        <w:rPr>
          <w:rFonts w:asciiTheme="majorHAnsi" w:hAnsiTheme="majorHAnsi"/>
        </w:rPr>
        <w:fldChar w:fldCharType="separate"/>
      </w:r>
    </w:p>
    <w:p w14:paraId="75134C45" w14:textId="1C35C42C" w:rsidR="00ED6D5C" w:rsidRDefault="003152EF" w:rsidP="00ED6D5C">
      <w:pPr>
        <w:rPr>
          <w:rFonts w:asciiTheme="majorHAnsi" w:hAnsiTheme="majorHAnsi"/>
        </w:rPr>
      </w:pPr>
      <w:r>
        <w:rPr>
          <w:rFonts w:asciiTheme="majorHAnsi" w:hAnsiTheme="majorHAnsi"/>
        </w:rPr>
        <w:lastRenderedPageBreak/>
        <w:fldChar w:fldCharType="end"/>
      </w:r>
      <w:r w:rsidR="00915BBB" w:rsidRPr="00915BBB">
        <w:rPr>
          <w:rFonts w:asciiTheme="majorHAnsi" w:hAnsiTheme="majorHAnsi"/>
        </w:rPr>
        <w:t xml:space="preserve"> </w:t>
      </w:r>
      <w:r w:rsidR="00915BBB" w:rsidRPr="00915BBB">
        <w:rPr>
          <w:noProof/>
        </w:rPr>
        <w:drawing>
          <wp:inline distT="0" distB="0" distL="0" distR="0" wp14:anchorId="00C5294D" wp14:editId="26801F19">
            <wp:extent cx="4691380" cy="9072245"/>
            <wp:effectExtent l="0" t="0" r="0" b="0"/>
            <wp:docPr id="16733483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1380" cy="9072245"/>
                    </a:xfrm>
                    <a:prstGeom prst="rect">
                      <a:avLst/>
                    </a:prstGeom>
                    <a:noFill/>
                    <a:ln>
                      <a:noFill/>
                    </a:ln>
                  </pic:spPr>
                </pic:pic>
              </a:graphicData>
            </a:graphic>
          </wp:inline>
        </w:drawing>
      </w:r>
    </w:p>
    <w:p w14:paraId="7A990C7A" w14:textId="77777777" w:rsidR="00702126" w:rsidRPr="0035717D" w:rsidRDefault="00702126">
      <w:pPr>
        <w:rPr>
          <w:rFonts w:asciiTheme="majorHAnsi" w:hAnsiTheme="majorHAnsi"/>
        </w:rPr>
      </w:pPr>
    </w:p>
    <w:p w14:paraId="4B211A85" w14:textId="22F4F9C8" w:rsidR="00360070" w:rsidRPr="0035717D" w:rsidRDefault="00360070">
      <w:pPr>
        <w:rPr>
          <w:rFonts w:asciiTheme="majorHAnsi" w:hAnsiTheme="majorHAnsi"/>
          <w:i/>
          <w:iCs/>
        </w:rPr>
      </w:pPr>
      <w:r w:rsidRPr="0035717D">
        <w:rPr>
          <w:rFonts w:asciiTheme="majorHAnsi" w:hAnsiTheme="majorHAnsi"/>
          <w:i/>
          <w:iCs/>
        </w:rPr>
        <w:t>MOTIVAZIONI</w:t>
      </w:r>
    </w:p>
    <w:p w14:paraId="7DF06C9D" w14:textId="6F143445" w:rsidR="00360070" w:rsidRDefault="00360070" w:rsidP="0035717D">
      <w:pPr>
        <w:jc w:val="both"/>
        <w:rPr>
          <w:rFonts w:asciiTheme="majorHAnsi" w:hAnsiTheme="majorHAnsi"/>
          <w:i/>
          <w:iCs/>
        </w:rPr>
      </w:pPr>
      <w:r w:rsidRPr="0035717D">
        <w:rPr>
          <w:rFonts w:asciiTheme="majorHAnsi" w:hAnsiTheme="majorHAnsi"/>
          <w:i/>
          <w:iCs/>
        </w:rPr>
        <w:t xml:space="preserve">L’emendamento sopprime la disposizione contenuta nel </w:t>
      </w:r>
      <w:r w:rsidR="0035717D" w:rsidRPr="0035717D">
        <w:rPr>
          <w:rFonts w:asciiTheme="majorHAnsi" w:hAnsiTheme="majorHAnsi"/>
          <w:i/>
          <w:iCs/>
        </w:rPr>
        <w:t>decreto-legge</w:t>
      </w:r>
      <w:r w:rsidRPr="0035717D">
        <w:rPr>
          <w:rFonts w:asciiTheme="majorHAnsi" w:hAnsiTheme="majorHAnsi"/>
          <w:i/>
          <w:iCs/>
        </w:rPr>
        <w:t xml:space="preserve"> c.d. “Milleproroghe 2025” con la quale</w:t>
      </w:r>
      <w:r w:rsidR="00FF1B22" w:rsidRPr="0035717D">
        <w:rPr>
          <w:rFonts w:asciiTheme="majorHAnsi" w:hAnsiTheme="majorHAnsi"/>
          <w:i/>
          <w:iCs/>
        </w:rPr>
        <w:t xml:space="preserve">, a copertura dei maggiori oneri derivanti dalla realizzazione di interventi affidati da Ferrovie dello Stato ed in corso di esecuzione da parte del contraente generale al </w:t>
      </w:r>
      <w:r w:rsidR="0035717D" w:rsidRPr="0035717D">
        <w:rPr>
          <w:rFonts w:asciiTheme="majorHAnsi" w:hAnsiTheme="majorHAnsi"/>
          <w:i/>
          <w:iCs/>
        </w:rPr>
        <w:t>1° giugno</w:t>
      </w:r>
      <w:r w:rsidR="00FF1B22" w:rsidRPr="0035717D">
        <w:rPr>
          <w:rFonts w:asciiTheme="majorHAnsi" w:hAnsiTheme="majorHAnsi"/>
          <w:i/>
          <w:iCs/>
        </w:rPr>
        <w:t xml:space="preserve"> 2021, vengono ridotte le risorse assegnate a Province e Città Metropolitane per l’anno 2025 e 2026 per la manutenzione straordinaria di infrastrutture viarie per complessivi </w:t>
      </w:r>
      <w:r w:rsidR="0035717D" w:rsidRPr="0035717D">
        <w:rPr>
          <w:rFonts w:asciiTheme="majorHAnsi" w:hAnsiTheme="majorHAnsi"/>
          <w:i/>
          <w:iCs/>
        </w:rPr>
        <w:t>3</w:t>
      </w:r>
      <w:r w:rsidR="00FF1B22" w:rsidRPr="0035717D">
        <w:rPr>
          <w:rFonts w:asciiTheme="majorHAnsi" w:hAnsiTheme="majorHAnsi"/>
          <w:i/>
          <w:iCs/>
        </w:rPr>
        <w:t xml:space="preserve">50 milioni. </w:t>
      </w:r>
    </w:p>
    <w:p w14:paraId="5E311F5C" w14:textId="75A8F638" w:rsidR="00692FC9" w:rsidRDefault="00692FC9" w:rsidP="0035717D">
      <w:pPr>
        <w:jc w:val="both"/>
        <w:rPr>
          <w:rFonts w:asciiTheme="majorHAnsi" w:hAnsiTheme="majorHAnsi"/>
          <w:i/>
          <w:iCs/>
        </w:rPr>
      </w:pPr>
      <w:r>
        <w:rPr>
          <w:rFonts w:asciiTheme="majorHAnsi" w:hAnsiTheme="majorHAnsi"/>
          <w:i/>
          <w:iCs/>
        </w:rPr>
        <w:t>Con l’emendamento proposto, la disposizione del decreto milleproroghe viene dunque soppressa e sostituita con l’incremento di assegnazione alle Province e Città Metropolitane,  solo delle risorse “tagliate” a valere sul dm 101/22, ripristinando l’originaria capacità di intervento sulla messa in sicurezza delle strade, anche</w:t>
      </w:r>
      <w:r w:rsidR="00B92953">
        <w:rPr>
          <w:rFonts w:asciiTheme="majorHAnsi" w:hAnsiTheme="majorHAnsi"/>
          <w:i/>
          <w:iCs/>
        </w:rPr>
        <w:t xml:space="preserve"> per</w:t>
      </w:r>
      <w:r>
        <w:rPr>
          <w:rFonts w:asciiTheme="majorHAnsi" w:hAnsiTheme="majorHAnsi"/>
          <w:i/>
          <w:iCs/>
        </w:rPr>
        <w:t xml:space="preserve"> le restanti annualità del fondo di cui all’articolo 1, comma 1076 della legge di bilancio </w:t>
      </w:r>
      <w:r w:rsidR="00B92953">
        <w:rPr>
          <w:rFonts w:asciiTheme="majorHAnsi" w:hAnsiTheme="majorHAnsi"/>
          <w:i/>
          <w:iCs/>
        </w:rPr>
        <w:t>2018.</w:t>
      </w:r>
      <w:r>
        <w:rPr>
          <w:rFonts w:asciiTheme="majorHAnsi" w:hAnsiTheme="majorHAnsi"/>
          <w:i/>
          <w:iCs/>
        </w:rPr>
        <w:t>.</w:t>
      </w:r>
    </w:p>
    <w:p w14:paraId="426D1E5F" w14:textId="77777777" w:rsidR="00692FC9" w:rsidRDefault="00692FC9" w:rsidP="0035717D">
      <w:pPr>
        <w:jc w:val="both"/>
        <w:rPr>
          <w:rFonts w:asciiTheme="majorHAnsi" w:hAnsiTheme="majorHAnsi"/>
          <w:i/>
          <w:iCs/>
        </w:rPr>
      </w:pPr>
    </w:p>
    <w:p w14:paraId="07F2E91A" w14:textId="605C961D" w:rsidR="0035717D" w:rsidRPr="0035717D" w:rsidRDefault="00692FC9" w:rsidP="0035717D">
      <w:pPr>
        <w:jc w:val="both"/>
        <w:rPr>
          <w:rFonts w:asciiTheme="majorHAnsi" w:hAnsiTheme="majorHAnsi"/>
          <w:i/>
          <w:iCs/>
        </w:rPr>
      </w:pPr>
      <w:bookmarkStart w:id="0" w:name="espon_n33"/>
      <w:r>
        <w:rPr>
          <w:rFonts w:asciiTheme="majorHAnsi" w:hAnsiTheme="majorHAnsi"/>
          <w:i/>
          <w:iCs/>
        </w:rPr>
        <w:t>L</w:t>
      </w:r>
      <w:r w:rsidR="00FF1B22" w:rsidRPr="0035717D">
        <w:rPr>
          <w:rFonts w:asciiTheme="majorHAnsi" w:hAnsiTheme="majorHAnsi"/>
          <w:i/>
          <w:iCs/>
        </w:rPr>
        <w:t>a disposizione che qui si intende abrogare infatti, utilizza a copertura finanziaria di interventi in corso affidati a Ferrovie dello Stato,</w:t>
      </w:r>
      <w:r w:rsidR="0035717D">
        <w:rPr>
          <w:rFonts w:asciiTheme="majorHAnsi" w:hAnsiTheme="majorHAnsi"/>
          <w:i/>
          <w:iCs/>
        </w:rPr>
        <w:t xml:space="preserve"> le</w:t>
      </w:r>
      <w:r w:rsidR="00FF1B22" w:rsidRPr="0035717D">
        <w:rPr>
          <w:rFonts w:asciiTheme="majorHAnsi" w:hAnsiTheme="majorHAnsi"/>
          <w:i/>
          <w:iCs/>
        </w:rPr>
        <w:t xml:space="preserve"> </w:t>
      </w:r>
      <w:r w:rsidR="0035717D" w:rsidRPr="0035717D">
        <w:rPr>
          <w:rFonts w:asciiTheme="majorHAnsi" w:hAnsiTheme="majorHAnsi"/>
          <w:i/>
          <w:iCs/>
        </w:rPr>
        <w:t>risorse finanziarie assegnate e in corso di utilizzazione da parte delle Province e Città Metropolitane, ai sensi del dm 101/2022</w:t>
      </w:r>
      <w:bookmarkEnd w:id="0"/>
      <w:r w:rsidR="0035717D" w:rsidRPr="0035717D">
        <w:rPr>
          <w:rFonts w:asciiTheme="majorHAnsi" w:eastAsia="Times New Roman" w:hAnsiTheme="majorHAnsi" w:cs="Times New Roman"/>
          <w:i/>
          <w:iCs/>
          <w:kern w:val="0"/>
          <w:lang w:eastAsia="it-IT"/>
          <w14:ligatures w14:val="none"/>
        </w:rPr>
        <w:t xml:space="preserve">, secondo una ripartizione e programmazione </w:t>
      </w:r>
      <w:r w:rsidR="00915BBB">
        <w:rPr>
          <w:rFonts w:asciiTheme="majorHAnsi" w:eastAsia="Times New Roman" w:hAnsiTheme="majorHAnsi" w:cs="Times New Roman"/>
          <w:i/>
          <w:iCs/>
          <w:kern w:val="0"/>
          <w:lang w:eastAsia="it-IT"/>
          <w14:ligatures w14:val="none"/>
        </w:rPr>
        <w:t xml:space="preserve">già </w:t>
      </w:r>
      <w:r w:rsidR="0035717D" w:rsidRPr="0035717D">
        <w:rPr>
          <w:rFonts w:asciiTheme="majorHAnsi" w:eastAsia="Times New Roman" w:hAnsiTheme="majorHAnsi" w:cs="Times New Roman"/>
          <w:i/>
          <w:iCs/>
          <w:kern w:val="0"/>
          <w:lang w:eastAsia="it-IT"/>
          <w14:ligatures w14:val="none"/>
        </w:rPr>
        <w:t>autorizzata dal Ministero delle Infrastrutture nel corso del 2024</w:t>
      </w:r>
      <w:r w:rsidR="00915BBB">
        <w:rPr>
          <w:rFonts w:asciiTheme="majorHAnsi" w:eastAsia="Times New Roman" w:hAnsiTheme="majorHAnsi" w:cs="Times New Roman"/>
          <w:i/>
          <w:iCs/>
          <w:kern w:val="0"/>
          <w:lang w:eastAsia="it-IT"/>
          <w14:ligatures w14:val="none"/>
        </w:rPr>
        <w:t xml:space="preserve">: si </w:t>
      </w:r>
      <w:r w:rsidR="0035717D" w:rsidRPr="0035717D">
        <w:rPr>
          <w:rFonts w:asciiTheme="majorHAnsi" w:hAnsiTheme="majorHAnsi"/>
          <w:i/>
          <w:iCs/>
        </w:rPr>
        <w:t xml:space="preserve">sottolinea infatti che con il dm 101/22, che ora è di fatto superato, gli enti avevano già programmato interventi di manutenzione su strade, ponti e viadotti per il quinquennio 2025/2029, e il Ministero aveva approvato tale programmazione. </w:t>
      </w:r>
    </w:p>
    <w:p w14:paraId="0CE53D40" w14:textId="09D0B45E" w:rsidR="0035717D" w:rsidRPr="0035717D" w:rsidRDefault="0035717D" w:rsidP="0035717D">
      <w:pPr>
        <w:jc w:val="both"/>
        <w:rPr>
          <w:rFonts w:asciiTheme="majorHAnsi" w:hAnsiTheme="majorHAnsi"/>
          <w:i/>
          <w:iCs/>
        </w:rPr>
      </w:pPr>
      <w:r w:rsidRPr="0035717D">
        <w:rPr>
          <w:rFonts w:asciiTheme="majorHAnsi" w:hAnsiTheme="majorHAnsi"/>
          <w:i/>
          <w:iCs/>
        </w:rPr>
        <w:t>Con il successivo invio della nota 5451 del 16 maggio da parte del Ministero infrastrutture, sono stati comunicati formalmente questi ulteriori tagli, segnalando l’esigenza di escludere l’assunzione di impegni senza la necessaria copertura disponibile.</w:t>
      </w:r>
    </w:p>
    <w:p w14:paraId="6761338A" w14:textId="1FA35BC7" w:rsidR="0035717D" w:rsidRPr="0035717D" w:rsidRDefault="0035717D" w:rsidP="0035717D">
      <w:pPr>
        <w:jc w:val="both"/>
        <w:rPr>
          <w:rFonts w:asciiTheme="majorHAnsi" w:hAnsiTheme="majorHAnsi"/>
          <w:i/>
          <w:iCs/>
        </w:rPr>
      </w:pPr>
    </w:p>
    <w:sectPr w:rsidR="0035717D" w:rsidRPr="003571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E5D33"/>
    <w:multiLevelType w:val="multilevel"/>
    <w:tmpl w:val="4FC0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35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70"/>
    <w:rsid w:val="0016362F"/>
    <w:rsid w:val="003152EF"/>
    <w:rsid w:val="0035717D"/>
    <w:rsid w:val="00360070"/>
    <w:rsid w:val="00692FC9"/>
    <w:rsid w:val="006C2AA7"/>
    <w:rsid w:val="00702126"/>
    <w:rsid w:val="00915BBB"/>
    <w:rsid w:val="00B516DA"/>
    <w:rsid w:val="00B92953"/>
    <w:rsid w:val="00C01B3D"/>
    <w:rsid w:val="00C13A5E"/>
    <w:rsid w:val="00CF6CDF"/>
    <w:rsid w:val="00E56205"/>
    <w:rsid w:val="00ED6D5C"/>
    <w:rsid w:val="00FF1B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4C45"/>
  <w15:chartTrackingRefBased/>
  <w15:docId w15:val="{E229A999-2CBE-4FFC-9BC8-6F056EB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00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00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00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00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0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0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0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00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00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00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00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00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00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0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0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0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0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0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0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0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070"/>
    <w:rPr>
      <w:i/>
      <w:iCs/>
      <w:color w:val="404040" w:themeColor="text1" w:themeTint="BF"/>
    </w:rPr>
  </w:style>
  <w:style w:type="paragraph" w:styleId="Paragrafoelenco">
    <w:name w:val="List Paragraph"/>
    <w:basedOn w:val="Normale"/>
    <w:uiPriority w:val="34"/>
    <w:qFormat/>
    <w:rsid w:val="00360070"/>
    <w:pPr>
      <w:ind w:left="720"/>
      <w:contextualSpacing/>
    </w:pPr>
  </w:style>
  <w:style w:type="character" w:styleId="Enfasiintensa">
    <w:name w:val="Intense Emphasis"/>
    <w:basedOn w:val="Carpredefinitoparagrafo"/>
    <w:uiPriority w:val="21"/>
    <w:qFormat/>
    <w:rsid w:val="00360070"/>
    <w:rPr>
      <w:i/>
      <w:iCs/>
      <w:color w:val="0F4761" w:themeColor="accent1" w:themeShade="BF"/>
    </w:rPr>
  </w:style>
  <w:style w:type="paragraph" w:styleId="Citazioneintensa">
    <w:name w:val="Intense Quote"/>
    <w:basedOn w:val="Normale"/>
    <w:next w:val="Normale"/>
    <w:link w:val="CitazioneintensaCarattere"/>
    <w:uiPriority w:val="30"/>
    <w:qFormat/>
    <w:rsid w:val="0036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0070"/>
    <w:rPr>
      <w:i/>
      <w:iCs/>
      <w:color w:val="0F4761" w:themeColor="accent1" w:themeShade="BF"/>
    </w:rPr>
  </w:style>
  <w:style w:type="character" w:styleId="Riferimentointenso">
    <w:name w:val="Intense Reference"/>
    <w:basedOn w:val="Carpredefinitoparagrafo"/>
    <w:uiPriority w:val="32"/>
    <w:qFormat/>
    <w:rsid w:val="00360070"/>
    <w:rPr>
      <w:b/>
      <w:bCs/>
      <w:smallCaps/>
      <w:color w:val="0F4761" w:themeColor="accent1" w:themeShade="BF"/>
      <w:spacing w:val="5"/>
    </w:rPr>
  </w:style>
  <w:style w:type="table" w:styleId="Grigliatabella">
    <w:name w:val="Table Grid"/>
    <w:basedOn w:val="Tabellanormale"/>
    <w:uiPriority w:val="39"/>
    <w:rsid w:val="0035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46967">
      <w:marLeft w:val="0"/>
      <w:marRight w:val="0"/>
      <w:marTop w:val="0"/>
      <w:marBottom w:val="0"/>
      <w:divBdr>
        <w:top w:val="none" w:sz="0" w:space="0" w:color="auto"/>
        <w:left w:val="none" w:sz="0" w:space="0" w:color="auto"/>
        <w:bottom w:val="none" w:sz="0" w:space="0" w:color="auto"/>
        <w:right w:val="none" w:sz="0" w:space="0" w:color="auto"/>
      </w:divBdr>
      <w:divsChild>
        <w:div w:id="757562338">
          <w:marLeft w:val="0"/>
          <w:marRight w:val="0"/>
          <w:marTop w:val="0"/>
          <w:marBottom w:val="0"/>
          <w:divBdr>
            <w:top w:val="none" w:sz="0" w:space="0" w:color="auto"/>
            <w:left w:val="none" w:sz="0" w:space="0" w:color="auto"/>
            <w:bottom w:val="none" w:sz="0" w:space="0" w:color="auto"/>
            <w:right w:val="none" w:sz="0" w:space="0" w:color="auto"/>
          </w:divBdr>
          <w:divsChild>
            <w:div w:id="1220239995">
              <w:marLeft w:val="0"/>
              <w:marRight w:val="0"/>
              <w:marTop w:val="0"/>
              <w:marBottom w:val="0"/>
              <w:divBdr>
                <w:top w:val="none" w:sz="0" w:space="0" w:color="auto"/>
                <w:left w:val="none" w:sz="0" w:space="0" w:color="auto"/>
                <w:bottom w:val="none" w:sz="0" w:space="0" w:color="auto"/>
                <w:right w:val="none" w:sz="0" w:space="0" w:color="auto"/>
              </w:divBdr>
              <w:divsChild>
                <w:div w:id="1835490660">
                  <w:marLeft w:val="0"/>
                  <w:marRight w:val="0"/>
                  <w:marTop w:val="0"/>
                  <w:marBottom w:val="0"/>
                  <w:divBdr>
                    <w:top w:val="none" w:sz="0" w:space="0" w:color="auto"/>
                    <w:left w:val="none" w:sz="0" w:space="0" w:color="auto"/>
                    <w:bottom w:val="none" w:sz="0" w:space="0" w:color="auto"/>
                    <w:right w:val="none" w:sz="0" w:space="0" w:color="auto"/>
                  </w:divBdr>
                </w:div>
                <w:div w:id="1912038869">
                  <w:marLeft w:val="0"/>
                  <w:marRight w:val="0"/>
                  <w:marTop w:val="0"/>
                  <w:marBottom w:val="0"/>
                  <w:divBdr>
                    <w:top w:val="none" w:sz="0" w:space="0" w:color="auto"/>
                    <w:left w:val="none" w:sz="0" w:space="0" w:color="auto"/>
                    <w:bottom w:val="none" w:sz="0" w:space="0" w:color="auto"/>
                    <w:right w:val="none" w:sz="0" w:space="0" w:color="auto"/>
                  </w:divBdr>
                </w:div>
                <w:div w:id="814221939">
                  <w:marLeft w:val="0"/>
                  <w:marRight w:val="0"/>
                  <w:marTop w:val="0"/>
                  <w:marBottom w:val="0"/>
                  <w:divBdr>
                    <w:top w:val="none" w:sz="0" w:space="0" w:color="auto"/>
                    <w:left w:val="none" w:sz="0" w:space="0" w:color="auto"/>
                    <w:bottom w:val="none" w:sz="0" w:space="0" w:color="auto"/>
                    <w:right w:val="none" w:sz="0" w:space="0" w:color="auto"/>
                  </w:divBdr>
                </w:div>
                <w:div w:id="1622492720">
                  <w:marLeft w:val="0"/>
                  <w:marRight w:val="0"/>
                  <w:marTop w:val="0"/>
                  <w:marBottom w:val="0"/>
                  <w:divBdr>
                    <w:top w:val="none" w:sz="0" w:space="0" w:color="auto"/>
                    <w:left w:val="none" w:sz="0" w:space="0" w:color="auto"/>
                    <w:bottom w:val="none" w:sz="0" w:space="0" w:color="auto"/>
                    <w:right w:val="none" w:sz="0" w:space="0" w:color="auto"/>
                  </w:divBdr>
                </w:div>
                <w:div w:id="1090469414">
                  <w:marLeft w:val="0"/>
                  <w:marRight w:val="0"/>
                  <w:marTop w:val="0"/>
                  <w:marBottom w:val="0"/>
                  <w:divBdr>
                    <w:top w:val="none" w:sz="0" w:space="0" w:color="auto"/>
                    <w:left w:val="none" w:sz="0" w:space="0" w:color="auto"/>
                    <w:bottom w:val="none" w:sz="0" w:space="0" w:color="auto"/>
                    <w:right w:val="none" w:sz="0" w:space="0" w:color="auto"/>
                  </w:divBdr>
                  <w:divsChild>
                    <w:div w:id="1594506463">
                      <w:marLeft w:val="0"/>
                      <w:marRight w:val="0"/>
                      <w:marTop w:val="0"/>
                      <w:marBottom w:val="0"/>
                      <w:divBdr>
                        <w:top w:val="none" w:sz="0" w:space="0" w:color="auto"/>
                        <w:left w:val="none" w:sz="0" w:space="0" w:color="auto"/>
                        <w:bottom w:val="none" w:sz="0" w:space="0" w:color="auto"/>
                        <w:right w:val="none" w:sz="0" w:space="0" w:color="auto"/>
                      </w:divBdr>
                      <w:divsChild>
                        <w:div w:id="1305550541">
                          <w:marLeft w:val="0"/>
                          <w:marRight w:val="0"/>
                          <w:marTop w:val="0"/>
                          <w:marBottom w:val="0"/>
                          <w:divBdr>
                            <w:top w:val="none" w:sz="0" w:space="0" w:color="auto"/>
                            <w:left w:val="none" w:sz="0" w:space="0" w:color="auto"/>
                            <w:bottom w:val="none" w:sz="0" w:space="0" w:color="auto"/>
                            <w:right w:val="none" w:sz="0" w:space="0" w:color="auto"/>
                          </w:divBdr>
                          <w:divsChild>
                            <w:div w:id="1259293910">
                              <w:marLeft w:val="0"/>
                              <w:marRight w:val="0"/>
                              <w:marTop w:val="0"/>
                              <w:marBottom w:val="0"/>
                              <w:divBdr>
                                <w:top w:val="none" w:sz="0" w:space="0" w:color="auto"/>
                                <w:left w:val="none" w:sz="0" w:space="0" w:color="auto"/>
                                <w:bottom w:val="none" w:sz="0" w:space="0" w:color="auto"/>
                                <w:right w:val="none" w:sz="0" w:space="0" w:color="auto"/>
                              </w:divBdr>
                            </w:div>
                          </w:divsChild>
                        </w:div>
                        <w:div w:id="2098016472">
                          <w:marLeft w:val="0"/>
                          <w:marRight w:val="0"/>
                          <w:marTop w:val="0"/>
                          <w:marBottom w:val="0"/>
                          <w:divBdr>
                            <w:top w:val="none" w:sz="0" w:space="0" w:color="auto"/>
                            <w:left w:val="none" w:sz="0" w:space="0" w:color="auto"/>
                            <w:bottom w:val="none" w:sz="0" w:space="0" w:color="auto"/>
                            <w:right w:val="none" w:sz="0" w:space="0" w:color="auto"/>
                          </w:divBdr>
                          <w:divsChild>
                            <w:div w:id="7567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19122">
      <w:bodyDiv w:val="1"/>
      <w:marLeft w:val="0"/>
      <w:marRight w:val="0"/>
      <w:marTop w:val="0"/>
      <w:marBottom w:val="0"/>
      <w:divBdr>
        <w:top w:val="none" w:sz="0" w:space="0" w:color="auto"/>
        <w:left w:val="none" w:sz="0" w:space="0" w:color="auto"/>
        <w:bottom w:val="none" w:sz="0" w:space="0" w:color="auto"/>
        <w:right w:val="none" w:sz="0" w:space="0" w:color="auto"/>
      </w:divBdr>
    </w:div>
    <w:div w:id="1489055828">
      <w:marLeft w:val="0"/>
      <w:marRight w:val="0"/>
      <w:marTop w:val="0"/>
      <w:marBottom w:val="0"/>
      <w:divBdr>
        <w:top w:val="none" w:sz="0" w:space="0" w:color="auto"/>
        <w:left w:val="none" w:sz="0" w:space="0" w:color="auto"/>
        <w:bottom w:val="none" w:sz="0" w:space="0" w:color="auto"/>
        <w:right w:val="none" w:sz="0" w:space="0" w:color="auto"/>
      </w:divBdr>
      <w:divsChild>
        <w:div w:id="619187260">
          <w:marLeft w:val="0"/>
          <w:marRight w:val="0"/>
          <w:marTop w:val="0"/>
          <w:marBottom w:val="0"/>
          <w:divBdr>
            <w:top w:val="none" w:sz="0" w:space="0" w:color="auto"/>
            <w:left w:val="none" w:sz="0" w:space="0" w:color="auto"/>
            <w:bottom w:val="none" w:sz="0" w:space="0" w:color="auto"/>
            <w:right w:val="none" w:sz="0" w:space="0" w:color="auto"/>
          </w:divBdr>
          <w:divsChild>
            <w:div w:id="1995528399">
              <w:marLeft w:val="0"/>
              <w:marRight w:val="0"/>
              <w:marTop w:val="0"/>
              <w:marBottom w:val="0"/>
              <w:divBdr>
                <w:top w:val="none" w:sz="0" w:space="0" w:color="auto"/>
                <w:left w:val="none" w:sz="0" w:space="0" w:color="auto"/>
                <w:bottom w:val="none" w:sz="0" w:space="0" w:color="auto"/>
                <w:right w:val="none" w:sz="0" w:space="0" w:color="auto"/>
              </w:divBdr>
              <w:divsChild>
                <w:div w:id="14074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6192">
      <w:bodyDiv w:val="1"/>
      <w:marLeft w:val="0"/>
      <w:marRight w:val="0"/>
      <w:marTop w:val="0"/>
      <w:marBottom w:val="0"/>
      <w:divBdr>
        <w:top w:val="none" w:sz="0" w:space="0" w:color="auto"/>
        <w:left w:val="none" w:sz="0" w:space="0" w:color="auto"/>
        <w:bottom w:val="none" w:sz="0" w:space="0" w:color="auto"/>
        <w:right w:val="none" w:sz="0" w:space="0" w:color="auto"/>
      </w:divBdr>
    </w:div>
    <w:div w:id="1829249459">
      <w:bodyDiv w:val="1"/>
      <w:marLeft w:val="0"/>
      <w:marRight w:val="0"/>
      <w:marTop w:val="0"/>
      <w:marBottom w:val="0"/>
      <w:divBdr>
        <w:top w:val="none" w:sz="0" w:space="0" w:color="auto"/>
        <w:left w:val="none" w:sz="0" w:space="0" w:color="auto"/>
        <w:bottom w:val="none" w:sz="0" w:space="0" w:color="auto"/>
        <w:right w:val="none" w:sz="0" w:space="0" w:color="auto"/>
      </w:divBdr>
      <w:divsChild>
        <w:div w:id="1002247155">
          <w:marLeft w:val="0"/>
          <w:marRight w:val="0"/>
          <w:marTop w:val="0"/>
          <w:marBottom w:val="0"/>
          <w:divBdr>
            <w:top w:val="none" w:sz="0" w:space="0" w:color="auto"/>
            <w:left w:val="none" w:sz="0" w:space="0" w:color="auto"/>
            <w:bottom w:val="none" w:sz="0" w:space="0" w:color="auto"/>
            <w:right w:val="none" w:sz="0" w:space="0" w:color="auto"/>
          </w:divBdr>
        </w:div>
      </w:divsChild>
    </w:div>
    <w:div w:id="2038770918">
      <w:marLeft w:val="0"/>
      <w:marRight w:val="0"/>
      <w:marTop w:val="0"/>
      <w:marBottom w:val="0"/>
      <w:divBdr>
        <w:top w:val="none" w:sz="0" w:space="0" w:color="auto"/>
        <w:left w:val="none" w:sz="0" w:space="0" w:color="auto"/>
        <w:bottom w:val="none" w:sz="0" w:space="0" w:color="auto"/>
        <w:right w:val="none" w:sz="0" w:space="0" w:color="auto"/>
      </w:divBdr>
      <w:divsChild>
        <w:div w:id="184484604">
          <w:marLeft w:val="0"/>
          <w:marRight w:val="0"/>
          <w:marTop w:val="0"/>
          <w:marBottom w:val="0"/>
          <w:divBdr>
            <w:top w:val="none" w:sz="0" w:space="0" w:color="auto"/>
            <w:left w:val="none" w:sz="0" w:space="0" w:color="auto"/>
            <w:bottom w:val="none" w:sz="0" w:space="0" w:color="auto"/>
            <w:right w:val="none" w:sz="0" w:space="0" w:color="auto"/>
          </w:divBdr>
        </w:div>
        <w:div w:id="205928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CEF5C92AA543459A83F84B2E17E3A9" ma:contentTypeVersion="9" ma:contentTypeDescription="Creare un nuovo documento." ma:contentTypeScope="" ma:versionID="a7cb2bba406961941ece8d6652dc267a">
  <xsd:schema xmlns:xsd="http://www.w3.org/2001/XMLSchema" xmlns:xs="http://www.w3.org/2001/XMLSchema" xmlns:p="http://schemas.microsoft.com/office/2006/metadata/properties" xmlns:ns3="6f89a1cd-2f99-4acf-9e3e-05ed546776e9" targetNamespace="http://schemas.microsoft.com/office/2006/metadata/properties" ma:root="true" ma:fieldsID="241db764c9798d20dbd7714d215b7e1c" ns3:_="">
    <xsd:import namespace="6f89a1cd-2f99-4acf-9e3e-05ed54677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a1cd-2f99-4acf-9e3e-05ed5467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3E098-1157-4E36-AE43-D35FD38A9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a1cd-2f99-4acf-9e3e-05ed54677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F94C8-30B7-4405-9F0B-3992EC01D534}">
  <ds:schemaRefs>
    <ds:schemaRef ds:uri="http://schemas.microsoft.com/sharepoint/v3/contenttype/forms"/>
  </ds:schemaRefs>
</ds:datastoreItem>
</file>

<file path=customXml/itemProps3.xml><?xml version="1.0" encoding="utf-8"?>
<ds:datastoreItem xmlns:ds="http://schemas.openxmlformats.org/officeDocument/2006/customXml" ds:itemID="{CC8862FA-EDDC-4497-AE98-644E409E825E}">
  <ds:schemaRefs>
    <ds:schemaRef ds:uri="http://purl.org/dc/dcmitype/"/>
    <ds:schemaRef ds:uri="http://schemas.openxmlformats.org/package/2006/metadata/core-properties"/>
    <ds:schemaRef ds:uri="http://schemas.microsoft.com/office/2006/documentManagement/types"/>
    <ds:schemaRef ds:uri="6f89a1cd-2f99-4acf-9e3e-05ed546776e9"/>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499</Words>
  <Characters>2845</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upi3</cp:lastModifiedBy>
  <cp:revision>2</cp:revision>
  <cp:lastPrinted>2025-06-05T12:34:00Z</cp:lastPrinted>
  <dcterms:created xsi:type="dcterms:W3CDTF">2025-06-05T15:04:00Z</dcterms:created>
  <dcterms:modified xsi:type="dcterms:W3CDTF">2025-06-05T15:04:00Z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0x010100D0CEF5C92AA543459A83F84B2E17E3A9</vt:lpwstr>
  </property>
</Properties>
</file>