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3EFB" w14:textId="57651904" w:rsidR="0014414B" w:rsidRDefault="000602E9" w:rsidP="000602E9">
      <w:pPr>
        <w:tabs>
          <w:tab w:val="left" w:pos="0"/>
        </w:tabs>
        <w:jc w:val="both"/>
        <w:rPr>
          <w:rFonts w:ascii="Calibri" w:hAnsi="Calibri" w:cs="Calibri"/>
          <w:sz w:val="44"/>
          <w:szCs w:val="44"/>
        </w:rPr>
      </w:pPr>
      <w:r w:rsidRPr="00EC61CD">
        <w:rPr>
          <w:rFonts w:ascii="Calibri" w:hAnsi="Calibri" w:cs="Calibri"/>
          <w:sz w:val="44"/>
          <w:szCs w:val="44"/>
        </w:rPr>
        <w:tab/>
      </w:r>
      <w:r w:rsidRPr="00EC61CD">
        <w:rPr>
          <w:rFonts w:ascii="Calibri" w:hAnsi="Calibri" w:cs="Calibri"/>
          <w:sz w:val="44"/>
          <w:szCs w:val="44"/>
        </w:rPr>
        <w:tab/>
      </w:r>
      <w:r w:rsidRPr="00EC61CD">
        <w:rPr>
          <w:rFonts w:ascii="Calibri" w:hAnsi="Calibri" w:cs="Calibri"/>
          <w:sz w:val="44"/>
          <w:szCs w:val="44"/>
        </w:rPr>
        <w:tab/>
      </w:r>
      <w:r w:rsidRPr="00EC61CD">
        <w:rPr>
          <w:rFonts w:ascii="Calibri" w:hAnsi="Calibri" w:cs="Calibri"/>
          <w:sz w:val="44"/>
          <w:szCs w:val="44"/>
        </w:rPr>
        <w:tab/>
      </w:r>
    </w:p>
    <w:p w14:paraId="3F19ED63" w14:textId="2A92C579" w:rsidR="00495C2F" w:rsidRDefault="00DC74BE" w:rsidP="0014414B">
      <w:pPr>
        <w:tabs>
          <w:tab w:val="left" w:pos="0"/>
        </w:tabs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74B6BEC" wp14:editId="2126318F">
            <wp:simplePos x="0" y="0"/>
            <wp:positionH relativeFrom="margin">
              <wp:posOffset>2200275</wp:posOffset>
            </wp:positionH>
            <wp:positionV relativeFrom="margin">
              <wp:posOffset>538480</wp:posOffset>
            </wp:positionV>
            <wp:extent cx="1738630" cy="1409700"/>
            <wp:effectExtent l="0" t="0" r="0" b="0"/>
            <wp:wrapSquare wrapText="bothSides"/>
            <wp:docPr id="8788375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E9C41" w14:textId="5C9340A3" w:rsidR="006E064D" w:rsidRDefault="006E064D" w:rsidP="00416B71">
      <w:pPr>
        <w:suppressAutoHyphens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C9C7910" w14:textId="02163F9B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3A52ED23" w14:textId="2E802C6C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7617F4BD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0F6C0CBE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6ADB41D5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67E4402F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5E18805B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148CB76C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1576751D" w14:textId="77777777" w:rsidR="00DC74BE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color w:val="4472C4" w:themeColor="accent1"/>
          <w:sz w:val="44"/>
          <w:szCs w:val="44"/>
        </w:rPr>
      </w:pPr>
    </w:p>
    <w:p w14:paraId="72E85E8F" w14:textId="77524CE8" w:rsidR="0027435F" w:rsidRPr="00BF08C1" w:rsidRDefault="0027435F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BF08C1">
        <w:rPr>
          <w:rFonts w:ascii="Calibri" w:hAnsi="Calibri" w:cs="Calibri"/>
          <w:b/>
          <w:bCs/>
          <w:sz w:val="44"/>
          <w:szCs w:val="44"/>
        </w:rPr>
        <w:t>“PROVINCE AL FIANCO DEI COMUNI PER LO SVILUPPO SOSTENIBILE DELLE AREE INTERNE</w:t>
      </w:r>
      <w:r w:rsidR="00CB3CCE">
        <w:rPr>
          <w:rFonts w:ascii="Calibri" w:hAnsi="Calibri" w:cs="Calibri"/>
          <w:b/>
          <w:bCs/>
          <w:sz w:val="44"/>
          <w:szCs w:val="44"/>
        </w:rPr>
        <w:t xml:space="preserve"> E MARGINALI</w:t>
      </w:r>
      <w:r w:rsidRPr="00BF08C1">
        <w:rPr>
          <w:rFonts w:ascii="Calibri" w:hAnsi="Calibri" w:cs="Calibri"/>
          <w:b/>
          <w:bCs/>
          <w:sz w:val="44"/>
          <w:szCs w:val="44"/>
        </w:rPr>
        <w:t>”</w:t>
      </w:r>
    </w:p>
    <w:p w14:paraId="5B5D98DA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7AD02B04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238D92EB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79116EA9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24D1C094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2A8B972F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1849B240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02D23725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25FB1C6B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15BE7FCD" w14:textId="77777777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66C5A890" w14:textId="3751E162" w:rsidR="00DC74BE" w:rsidRPr="00BF08C1" w:rsidRDefault="00DC74BE" w:rsidP="0027435F">
      <w:pPr>
        <w:tabs>
          <w:tab w:val="left" w:pos="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BF08C1">
        <w:rPr>
          <w:rFonts w:ascii="Calibri" w:hAnsi="Calibri" w:cs="Calibri"/>
          <w:b/>
          <w:bCs/>
          <w:sz w:val="44"/>
          <w:szCs w:val="44"/>
        </w:rPr>
        <w:t xml:space="preserve">Roma, </w:t>
      </w:r>
      <w:r w:rsidR="00CB3CCE">
        <w:rPr>
          <w:rFonts w:ascii="Calibri" w:hAnsi="Calibri" w:cs="Calibri"/>
          <w:b/>
          <w:bCs/>
          <w:sz w:val="44"/>
          <w:szCs w:val="44"/>
        </w:rPr>
        <w:t>2</w:t>
      </w:r>
      <w:r w:rsidR="00190F88">
        <w:rPr>
          <w:rFonts w:ascii="Calibri" w:hAnsi="Calibri" w:cs="Calibri"/>
          <w:b/>
          <w:bCs/>
          <w:sz w:val="44"/>
          <w:szCs w:val="44"/>
        </w:rPr>
        <w:t>2</w:t>
      </w:r>
      <w:r w:rsidRPr="00BF08C1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190F88">
        <w:rPr>
          <w:rFonts w:ascii="Calibri" w:hAnsi="Calibri" w:cs="Calibri"/>
          <w:b/>
          <w:bCs/>
          <w:sz w:val="44"/>
          <w:szCs w:val="44"/>
        </w:rPr>
        <w:t>otto</w:t>
      </w:r>
      <w:r w:rsidRPr="00BF08C1">
        <w:rPr>
          <w:rFonts w:ascii="Calibri" w:hAnsi="Calibri" w:cs="Calibri"/>
          <w:b/>
          <w:bCs/>
          <w:sz w:val="44"/>
          <w:szCs w:val="44"/>
        </w:rPr>
        <w:t>bre 2025</w:t>
      </w:r>
    </w:p>
    <w:p w14:paraId="118F9326" w14:textId="77777777" w:rsidR="006E064D" w:rsidRPr="006E064D" w:rsidRDefault="006E064D" w:rsidP="00416B71">
      <w:pPr>
        <w:suppressAutoHyphens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1183431" w14:textId="5B1C869E" w:rsidR="00DC74BE" w:rsidRDefault="00DC74BE">
      <w:pPr>
        <w:suppressAutoHyphens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 w:type="page"/>
      </w:r>
    </w:p>
    <w:p w14:paraId="1D58B1B4" w14:textId="4520C312" w:rsidR="009C259C" w:rsidRPr="00DC74BE" w:rsidRDefault="009C259C" w:rsidP="00416B71">
      <w:pPr>
        <w:suppressAutoHyphens w:val="0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DC74B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lastRenderedPageBreak/>
        <w:t>PREMESSA</w:t>
      </w:r>
    </w:p>
    <w:p w14:paraId="30A6E404" w14:textId="77777777" w:rsidR="009C259C" w:rsidRDefault="009C259C" w:rsidP="00416B71">
      <w:pPr>
        <w:suppressAutoHyphens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3495065" w14:textId="77777777" w:rsidR="00495C2F" w:rsidRDefault="00730805" w:rsidP="00730805">
      <w:pPr>
        <w:suppressAutoHyphens w:val="0"/>
        <w:spacing w:after="300"/>
        <w:jc w:val="both"/>
        <w:rPr>
          <w:rFonts w:asciiTheme="minorHAnsi" w:eastAsia="+mn-ea" w:hAnsiTheme="minorHAnsi" w:cstheme="minorHAnsi"/>
          <w:kern w:val="24"/>
          <w:lang w:eastAsia="it-IT"/>
        </w:rPr>
      </w:pPr>
      <w:r w:rsidRPr="00EE5ECA">
        <w:rPr>
          <w:rFonts w:asciiTheme="minorHAnsi" w:eastAsia="+mn-ea" w:hAnsiTheme="minorHAnsi" w:cstheme="minorHAnsi"/>
          <w:kern w:val="24"/>
          <w:lang w:eastAsia="it-IT"/>
        </w:rPr>
        <w:t xml:space="preserve">La Strategia Nazionale per le Aree Interne (SNAI) rappresenta una politica nazionale innovativa di sviluppo e coesione territoriale diretta a contrastare la marginalizzazione ed i fenomeni di declino demografico propri delle aree </w:t>
      </w:r>
      <w:r>
        <w:rPr>
          <w:rFonts w:asciiTheme="minorHAnsi" w:eastAsia="+mn-ea" w:hAnsiTheme="minorHAnsi" w:cstheme="minorHAnsi"/>
          <w:kern w:val="24"/>
          <w:lang w:eastAsia="it-IT"/>
        </w:rPr>
        <w:t>periferiche</w:t>
      </w:r>
      <w:r w:rsidRPr="00EE5ECA">
        <w:rPr>
          <w:rFonts w:asciiTheme="minorHAnsi" w:eastAsia="+mn-ea" w:hAnsiTheme="minorHAnsi" w:cstheme="minorHAnsi"/>
          <w:kern w:val="24"/>
          <w:lang w:eastAsia="it-IT"/>
        </w:rPr>
        <w:t xml:space="preserve"> del nostro Paese. </w:t>
      </w:r>
    </w:p>
    <w:p w14:paraId="3A9284A7" w14:textId="77777777" w:rsidR="00495C2F" w:rsidRPr="00495C2F" w:rsidRDefault="00495C2F" w:rsidP="00495C2F">
      <w:pPr>
        <w:shd w:val="clear" w:color="auto" w:fill="FFFFFF"/>
        <w:suppressAutoHyphens w:val="0"/>
        <w:spacing w:beforeAutospacing="1" w:afterAutospacing="1"/>
        <w:rPr>
          <w:rFonts w:asciiTheme="minorHAnsi" w:eastAsia="+mn-ea" w:hAnsiTheme="minorHAnsi" w:cstheme="minorHAnsi"/>
          <w:kern w:val="24"/>
          <w:lang w:eastAsia="it-IT"/>
        </w:rPr>
      </w:pPr>
      <w:r w:rsidRPr="00495C2F">
        <w:rPr>
          <w:rFonts w:asciiTheme="minorHAnsi" w:eastAsia="+mn-ea" w:hAnsiTheme="minorHAnsi" w:cstheme="minorHAnsi"/>
          <w:kern w:val="24"/>
          <w:lang w:eastAsia="it-IT"/>
        </w:rPr>
        <w:t>Le Aree di progetto del ciclo di programmazione 2021-2027 includono:</w:t>
      </w:r>
    </w:p>
    <w:p w14:paraId="21F7DCC0" w14:textId="77777777" w:rsidR="00495C2F" w:rsidRPr="00495C2F" w:rsidRDefault="00495C2F" w:rsidP="00495C2F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Theme="minorHAnsi" w:eastAsia="+mn-ea" w:hAnsiTheme="minorHAnsi" w:cstheme="minorHAnsi"/>
          <w:kern w:val="24"/>
          <w:lang w:eastAsia="it-IT"/>
        </w:rPr>
      </w:pPr>
      <w:r w:rsidRPr="00495C2F">
        <w:rPr>
          <w:rFonts w:asciiTheme="minorHAnsi" w:eastAsia="+mn-ea" w:hAnsiTheme="minorHAnsi" w:cstheme="minorHAnsi"/>
          <w:kern w:val="24"/>
          <w:lang w:eastAsia="it-IT"/>
        </w:rPr>
        <w:t>le 56 nuove Aree 2021-2027, che complessivamente coinvolgono 764 Comuni (dato al 2020), e in cui risiede una popolazione pari a 2.056.139;</w:t>
      </w:r>
    </w:p>
    <w:p w14:paraId="3CDC82AC" w14:textId="77777777" w:rsidR="00495C2F" w:rsidRPr="00495C2F" w:rsidRDefault="00495C2F" w:rsidP="00495C2F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Theme="minorHAnsi" w:eastAsia="+mn-ea" w:hAnsiTheme="minorHAnsi" w:cstheme="minorHAnsi"/>
          <w:kern w:val="24"/>
          <w:lang w:eastAsia="it-IT"/>
        </w:rPr>
      </w:pPr>
      <w:r w:rsidRPr="00495C2F">
        <w:rPr>
          <w:rFonts w:asciiTheme="minorHAnsi" w:eastAsia="+mn-ea" w:hAnsiTheme="minorHAnsi" w:cstheme="minorHAnsi"/>
          <w:kern w:val="24"/>
          <w:lang w:eastAsia="it-IT"/>
        </w:rPr>
        <w:t>le 37 Aree identificate nel 2014-2020 che sono state confermate senza alcuna variazione del perimetro iniziale: si tratta di 549 Comuni in cui risiede una popolazione pari a 977.279 abitanti;</w:t>
      </w:r>
    </w:p>
    <w:p w14:paraId="728DE0EA" w14:textId="77777777" w:rsidR="00495C2F" w:rsidRPr="00495C2F" w:rsidRDefault="00495C2F" w:rsidP="00495C2F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Theme="minorHAnsi" w:eastAsia="+mn-ea" w:hAnsiTheme="minorHAnsi" w:cstheme="minorHAnsi"/>
          <w:kern w:val="24"/>
          <w:lang w:eastAsia="it-IT"/>
        </w:rPr>
      </w:pPr>
      <w:r w:rsidRPr="00495C2F">
        <w:rPr>
          <w:rFonts w:asciiTheme="minorHAnsi" w:eastAsia="+mn-ea" w:hAnsiTheme="minorHAnsi" w:cstheme="minorHAnsi"/>
          <w:kern w:val="24"/>
          <w:lang w:eastAsia="it-IT"/>
        </w:rPr>
        <w:t>le 30 Aree identificate nel 2014-2020 che presentano un nuovo perimetro rispetto alla configurazione originaria a seguito dell’annessione e/o esclusione di comuni: in questo caso si tratta di 556 Comuni in cui risiede una popolazione pari a 1.324.220 abitanti:</w:t>
      </w:r>
    </w:p>
    <w:p w14:paraId="47FA6872" w14:textId="77777777" w:rsidR="00495C2F" w:rsidRDefault="00495C2F" w:rsidP="00495C2F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Theme="minorHAnsi" w:eastAsia="+mn-ea" w:hAnsiTheme="minorHAnsi" w:cstheme="minorHAnsi"/>
          <w:kern w:val="24"/>
          <w:lang w:eastAsia="it-IT"/>
        </w:rPr>
      </w:pPr>
      <w:r w:rsidRPr="00495C2F">
        <w:rPr>
          <w:rFonts w:asciiTheme="minorHAnsi" w:eastAsia="+mn-ea" w:hAnsiTheme="minorHAnsi" w:cstheme="minorHAnsi"/>
          <w:kern w:val="24"/>
          <w:lang w:eastAsia="it-IT"/>
        </w:rPr>
        <w:t>il “progetto speciale Isole Minori” che coinvolge i 35 Comuni sui quali insistono le Isole, con una popolazione totale di 213.093 abitanti.</w:t>
      </w:r>
    </w:p>
    <w:p w14:paraId="5401CCEE" w14:textId="77777777" w:rsidR="00AB0BA0" w:rsidRPr="00495C2F" w:rsidRDefault="00AB0BA0" w:rsidP="00AB0BA0">
      <w:pPr>
        <w:shd w:val="clear" w:color="auto" w:fill="FFFFFF"/>
        <w:suppressAutoHyphens w:val="0"/>
        <w:ind w:left="720"/>
        <w:jc w:val="both"/>
        <w:rPr>
          <w:rFonts w:asciiTheme="minorHAnsi" w:eastAsia="+mn-ea" w:hAnsiTheme="minorHAnsi" w:cstheme="minorHAnsi"/>
          <w:kern w:val="24"/>
          <w:lang w:eastAsia="it-IT"/>
        </w:rPr>
      </w:pPr>
    </w:p>
    <w:p w14:paraId="34150E13" w14:textId="04873032" w:rsidR="00AB0BA0" w:rsidRPr="00AB0BA0" w:rsidRDefault="00AB0BA0" w:rsidP="00AB0BA0">
      <w:pPr>
        <w:spacing w:after="100" w:afterAutospacing="1"/>
        <w:jc w:val="both"/>
        <w:rPr>
          <w:rFonts w:asciiTheme="minorHAnsi" w:eastAsia="+mn-ea" w:hAnsiTheme="minorHAnsi" w:cstheme="minorHAnsi"/>
          <w:kern w:val="24"/>
          <w:lang w:eastAsia="it-IT"/>
        </w:rPr>
      </w:pPr>
      <w:r w:rsidRPr="00AB0BA0">
        <w:rPr>
          <w:rFonts w:asciiTheme="minorHAnsi" w:eastAsia="+mn-ea" w:hAnsiTheme="minorHAnsi" w:cstheme="minorHAnsi"/>
          <w:kern w:val="24"/>
          <w:lang w:eastAsia="it-IT"/>
        </w:rPr>
        <w:t>Delle 72 aree SNAI della programmazione 2014-2020, 5 aree</w:t>
      </w:r>
      <w:r w:rsidR="00B75F98">
        <w:rPr>
          <w:rFonts w:asciiTheme="minorHAnsi" w:eastAsia="+mn-ea" w:hAnsiTheme="minorHAnsi" w:cstheme="minorHAnsi"/>
          <w:kern w:val="24"/>
          <w:lang w:eastAsia="it-IT"/>
        </w:rPr>
        <w:t>, non essendo</w:t>
      </w:r>
      <w:r>
        <w:rPr>
          <w:rFonts w:asciiTheme="minorHAnsi" w:eastAsia="+mn-ea" w:hAnsiTheme="minorHAnsi" w:cstheme="minorHAnsi"/>
          <w:kern w:val="24"/>
          <w:lang w:eastAsia="it-IT"/>
        </w:rPr>
        <w:t xml:space="preserve"> state </w:t>
      </w:r>
      <w:r w:rsidRPr="00AB0BA0">
        <w:rPr>
          <w:rFonts w:asciiTheme="minorHAnsi" w:eastAsia="+mn-ea" w:hAnsiTheme="minorHAnsi" w:cstheme="minorHAnsi"/>
          <w:kern w:val="24"/>
          <w:lang w:eastAsia="it-IT"/>
        </w:rPr>
        <w:t>confermate</w:t>
      </w:r>
      <w:r w:rsidR="00B75F98">
        <w:rPr>
          <w:rFonts w:asciiTheme="minorHAnsi" w:eastAsia="+mn-ea" w:hAnsiTheme="minorHAnsi" w:cstheme="minorHAnsi"/>
          <w:kern w:val="24"/>
          <w:lang w:eastAsia="it-IT"/>
        </w:rPr>
        <w:t xml:space="preserve">, sono state </w:t>
      </w:r>
      <w:r>
        <w:rPr>
          <w:rFonts w:asciiTheme="minorHAnsi" w:eastAsia="+mn-ea" w:hAnsiTheme="minorHAnsi" w:cstheme="minorHAnsi"/>
          <w:kern w:val="24"/>
          <w:lang w:eastAsia="it-IT"/>
        </w:rPr>
        <w:t>escluse dalla strategia SNAI (periodo 2021-2027)</w:t>
      </w:r>
      <w:r w:rsidRPr="00AB0BA0">
        <w:rPr>
          <w:rFonts w:asciiTheme="minorHAnsi" w:eastAsia="+mn-ea" w:hAnsiTheme="minorHAnsi" w:cstheme="minorHAnsi"/>
          <w:kern w:val="24"/>
          <w:lang w:eastAsia="it-IT"/>
        </w:rPr>
        <w:t>: le 4 aree della Regione Piemonte (Val Bormida, Val di Lanzo, Val d'Ossola e Valli Grana e Maira) e l'area dell'Alta Valtellina in Lombardia. </w:t>
      </w:r>
    </w:p>
    <w:p w14:paraId="77054A4A" w14:textId="7412834C" w:rsidR="009A39B1" w:rsidRPr="009A39B1" w:rsidRDefault="00495C2F" w:rsidP="00AB0BA0">
      <w:pPr>
        <w:spacing w:after="100" w:afterAutospacing="1"/>
        <w:jc w:val="both"/>
        <w:rPr>
          <w:rFonts w:asciiTheme="minorHAnsi" w:eastAsia="+mn-ea" w:hAnsiTheme="minorHAnsi" w:cstheme="minorHAnsi"/>
          <w:b/>
          <w:bCs/>
          <w:kern w:val="24"/>
          <w:lang w:eastAsia="it-IT"/>
        </w:rPr>
      </w:pPr>
      <w:r w:rsidRPr="00495C2F">
        <w:rPr>
          <w:rFonts w:asciiTheme="minorHAnsi" w:eastAsia="+mn-ea" w:hAnsiTheme="minorHAnsi" w:cstheme="minorHAnsi"/>
          <w:kern w:val="24"/>
          <w:lang w:eastAsia="it-IT"/>
        </w:rPr>
        <w:t xml:space="preserve">Complessivamente si tratta quindi </w:t>
      </w:r>
      <w:r w:rsidRPr="00AB0BA0">
        <w:rPr>
          <w:rFonts w:asciiTheme="minorHAnsi" w:eastAsia="+mn-ea" w:hAnsiTheme="minorHAnsi" w:cstheme="minorHAnsi"/>
          <w:b/>
          <w:bCs/>
          <w:kern w:val="24"/>
          <w:lang w:eastAsia="it-IT"/>
        </w:rPr>
        <w:t>di 124 Aree di progetto</w:t>
      </w:r>
      <w:r w:rsidRPr="00AB0BA0">
        <w:rPr>
          <w:rFonts w:asciiTheme="minorHAnsi" w:eastAsia="+mn-ea" w:hAnsiTheme="minorHAnsi" w:cstheme="minorHAnsi"/>
          <w:kern w:val="24"/>
          <w:lang w:eastAsia="it-IT"/>
        </w:rPr>
        <w:t xml:space="preserve">, </w:t>
      </w:r>
      <w:r w:rsidRPr="00AB0BA0">
        <w:rPr>
          <w:rFonts w:asciiTheme="minorHAnsi" w:eastAsia="+mn-ea" w:hAnsiTheme="minorHAnsi" w:cstheme="minorHAnsi"/>
          <w:b/>
          <w:bCs/>
          <w:kern w:val="24"/>
          <w:lang w:eastAsia="it-IT"/>
        </w:rPr>
        <w:t>che coinvolgono 1.904 Comuni, in cui vivono 4.570.731 abitanti. </w:t>
      </w:r>
      <w:r w:rsidR="009A39B1" w:rsidRPr="00AB0BA0">
        <w:rPr>
          <w:rFonts w:asciiTheme="minorHAnsi" w:eastAsia="+mn-ea" w:hAnsiTheme="minorHAnsi" w:cstheme="minorHAnsi"/>
          <w:b/>
          <w:bCs/>
          <w:kern w:val="24"/>
          <w:lang w:eastAsia="it-IT"/>
        </w:rPr>
        <w:t xml:space="preserve">Sono state altresì confermate 67 delle 72 aree SNAI 2014-2020, alcune delle quali con una nuova perimetrazione. </w:t>
      </w:r>
    </w:p>
    <w:p w14:paraId="6F388AA8" w14:textId="41615977" w:rsidR="00730805" w:rsidRPr="00286165" w:rsidRDefault="00495C2F" w:rsidP="00730805">
      <w:pPr>
        <w:suppressAutoHyphens w:val="0"/>
        <w:spacing w:after="300"/>
        <w:jc w:val="both"/>
        <w:rPr>
          <w:rFonts w:asciiTheme="minorHAnsi" w:hAnsiTheme="minorHAnsi" w:cstheme="minorHAnsi"/>
          <w:b/>
          <w:bCs/>
        </w:rPr>
      </w:pPr>
      <w:bookmarkStart w:id="0" w:name="_Hlk208834226"/>
      <w:r>
        <w:rPr>
          <w:rFonts w:asciiTheme="minorHAnsi" w:eastAsia="+mn-ea" w:hAnsiTheme="minorHAnsi" w:cstheme="minorHAnsi"/>
          <w:kern w:val="24"/>
          <w:lang w:eastAsia="it-IT"/>
        </w:rPr>
        <w:t xml:space="preserve">Rispetto </w:t>
      </w:r>
      <w:r w:rsidR="00730805">
        <w:rPr>
          <w:rFonts w:asciiTheme="minorHAnsi" w:hAnsiTheme="minorHAnsi" w:cstheme="minorHAnsi"/>
        </w:rPr>
        <w:t xml:space="preserve">a queste, </w:t>
      </w:r>
      <w:r w:rsidR="00730805" w:rsidRPr="00286165">
        <w:rPr>
          <w:rFonts w:asciiTheme="minorHAnsi" w:hAnsiTheme="minorHAnsi" w:cstheme="minorHAnsi"/>
          <w:b/>
          <w:bCs/>
        </w:rPr>
        <w:t>sono 6</w:t>
      </w:r>
      <w:r w:rsidR="003933BD">
        <w:rPr>
          <w:rFonts w:asciiTheme="minorHAnsi" w:hAnsiTheme="minorHAnsi" w:cstheme="minorHAnsi"/>
          <w:b/>
          <w:bCs/>
        </w:rPr>
        <w:t>5</w:t>
      </w:r>
      <w:r w:rsidR="00730805" w:rsidRPr="00286165">
        <w:rPr>
          <w:rFonts w:asciiTheme="minorHAnsi" w:hAnsiTheme="minorHAnsi" w:cstheme="minorHAnsi"/>
          <w:b/>
          <w:bCs/>
        </w:rPr>
        <w:t xml:space="preserve"> le Province in cui ricadono </w:t>
      </w:r>
      <w:r w:rsidR="00B718A3">
        <w:rPr>
          <w:rFonts w:asciiTheme="minorHAnsi" w:hAnsiTheme="minorHAnsi" w:cstheme="minorHAnsi"/>
          <w:b/>
          <w:bCs/>
        </w:rPr>
        <w:t>96</w:t>
      </w:r>
      <w:r w:rsidR="00730805" w:rsidRPr="00286165">
        <w:rPr>
          <w:rFonts w:asciiTheme="minorHAnsi" w:hAnsiTheme="minorHAnsi" w:cstheme="minorHAnsi"/>
          <w:b/>
          <w:bCs/>
        </w:rPr>
        <w:t xml:space="preserve"> Aree Interne</w:t>
      </w:r>
      <w:r w:rsidR="009E108E">
        <w:rPr>
          <w:rFonts w:asciiTheme="minorHAnsi" w:hAnsiTheme="minorHAnsi" w:cstheme="minorHAnsi"/>
          <w:b/>
          <w:bCs/>
        </w:rPr>
        <w:t xml:space="preserve">, di cui </w:t>
      </w:r>
      <w:r w:rsidR="00B1330A">
        <w:rPr>
          <w:rFonts w:asciiTheme="minorHAnsi" w:hAnsiTheme="minorHAnsi" w:cstheme="minorHAnsi"/>
          <w:b/>
          <w:bCs/>
        </w:rPr>
        <w:t>76</w:t>
      </w:r>
      <w:r w:rsidR="009E108E">
        <w:rPr>
          <w:rFonts w:asciiTheme="minorHAnsi" w:hAnsiTheme="minorHAnsi" w:cstheme="minorHAnsi"/>
          <w:b/>
          <w:bCs/>
        </w:rPr>
        <w:t xml:space="preserve"> </w:t>
      </w:r>
      <w:r w:rsidR="00CB3CCE">
        <w:rPr>
          <w:rFonts w:asciiTheme="minorHAnsi" w:hAnsiTheme="minorHAnsi" w:cstheme="minorHAnsi"/>
          <w:b/>
          <w:bCs/>
        </w:rPr>
        <w:t xml:space="preserve">afferenti ad </w:t>
      </w:r>
      <w:r w:rsidR="009E108E">
        <w:rPr>
          <w:rFonts w:asciiTheme="minorHAnsi" w:hAnsiTheme="minorHAnsi" w:cstheme="minorHAnsi"/>
          <w:b/>
          <w:bCs/>
        </w:rPr>
        <w:t xml:space="preserve">un’unica Provincia e </w:t>
      </w:r>
      <w:r w:rsidR="004A779F">
        <w:rPr>
          <w:rFonts w:asciiTheme="minorHAnsi" w:hAnsiTheme="minorHAnsi" w:cstheme="minorHAnsi"/>
          <w:b/>
          <w:bCs/>
        </w:rPr>
        <w:t>20</w:t>
      </w:r>
      <w:r w:rsidR="009E108E">
        <w:rPr>
          <w:rFonts w:asciiTheme="minorHAnsi" w:hAnsiTheme="minorHAnsi" w:cstheme="minorHAnsi"/>
          <w:b/>
          <w:bCs/>
        </w:rPr>
        <w:t xml:space="preserve"> </w:t>
      </w:r>
      <w:r w:rsidR="00730805" w:rsidRPr="00286165">
        <w:rPr>
          <w:rFonts w:asciiTheme="minorHAnsi" w:hAnsiTheme="minorHAnsi" w:cstheme="minorHAnsi"/>
          <w:b/>
          <w:bCs/>
        </w:rPr>
        <w:t xml:space="preserve">condivise tra più </w:t>
      </w:r>
      <w:r>
        <w:rPr>
          <w:rFonts w:asciiTheme="minorHAnsi" w:hAnsiTheme="minorHAnsi" w:cstheme="minorHAnsi"/>
          <w:b/>
          <w:bCs/>
        </w:rPr>
        <w:t>Enti, come da tabella sottostante (in giallo le A</w:t>
      </w:r>
      <w:r w:rsidR="00CB3CCE">
        <w:rPr>
          <w:rFonts w:asciiTheme="minorHAnsi" w:hAnsiTheme="minorHAnsi" w:cstheme="minorHAnsi"/>
          <w:b/>
          <w:bCs/>
        </w:rPr>
        <w:t>ree Interne</w:t>
      </w:r>
      <w:r>
        <w:rPr>
          <w:rFonts w:asciiTheme="minorHAnsi" w:hAnsiTheme="minorHAnsi" w:cstheme="minorHAnsi"/>
          <w:b/>
          <w:bCs/>
        </w:rPr>
        <w:t xml:space="preserve"> condivise)</w:t>
      </w:r>
      <w:r w:rsidR="00730805" w:rsidRPr="00286165">
        <w:rPr>
          <w:rFonts w:asciiTheme="minorHAnsi" w:hAnsiTheme="minorHAnsi" w:cstheme="minorHAnsi"/>
          <w:b/>
          <w:bCs/>
        </w:rPr>
        <w:t xml:space="preserve">. </w:t>
      </w:r>
    </w:p>
    <w:tbl>
      <w:tblPr>
        <w:tblStyle w:val="Grigliatabella2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495C2F" w:rsidRPr="00495C2F" w14:paraId="3567E020" w14:textId="77777777" w:rsidTr="00D5442C">
        <w:trPr>
          <w:trHeight w:val="246"/>
        </w:trPr>
        <w:tc>
          <w:tcPr>
            <w:tcW w:w="2552" w:type="dxa"/>
            <w:shd w:val="clear" w:color="auto" w:fill="0070C0"/>
          </w:tcPr>
          <w:p w14:paraId="45B61A50" w14:textId="77777777" w:rsidR="00495C2F" w:rsidRPr="00495C2F" w:rsidRDefault="00495C2F" w:rsidP="00495C2F">
            <w:pPr>
              <w:suppressAutoHyphens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95C2F">
              <w:rPr>
                <w:rFonts w:ascii="Arial" w:hAnsi="Arial" w:cs="Arial"/>
                <w:color w:val="FFFFFF"/>
                <w:sz w:val="16"/>
                <w:szCs w:val="16"/>
                <w:lang w:eastAsia="en-US"/>
              </w:rPr>
              <w:t>PIEMONTE</w:t>
            </w:r>
          </w:p>
        </w:tc>
        <w:tc>
          <w:tcPr>
            <w:tcW w:w="6379" w:type="dxa"/>
            <w:shd w:val="clear" w:color="auto" w:fill="0070C0"/>
          </w:tcPr>
          <w:p w14:paraId="761C43F4" w14:textId="77777777" w:rsidR="00495C2F" w:rsidRPr="00495C2F" w:rsidRDefault="00495C2F" w:rsidP="00495C2F">
            <w:pPr>
              <w:suppressAutoHyphens w:val="0"/>
              <w:rPr>
                <w:rFonts w:ascii="Arial" w:hAnsi="Arial" w:cs="Arial"/>
                <w:color w:val="FFFFFF"/>
                <w:sz w:val="16"/>
                <w:szCs w:val="16"/>
                <w:lang w:eastAsia="en-US"/>
              </w:rPr>
            </w:pPr>
            <w:r w:rsidRPr="00495C2F">
              <w:rPr>
                <w:rFonts w:ascii="Arial" w:hAnsi="Arial" w:cs="Arial"/>
                <w:color w:val="FFFFFF"/>
                <w:sz w:val="16"/>
                <w:szCs w:val="16"/>
                <w:lang w:eastAsia="en-US"/>
              </w:rPr>
              <w:t>AREA INTERNA</w:t>
            </w:r>
          </w:p>
        </w:tc>
      </w:tr>
      <w:tr w:rsidR="00495C2F" w:rsidRPr="00495C2F" w14:paraId="79C6B339" w14:textId="77777777" w:rsidTr="00D5442C">
        <w:tc>
          <w:tcPr>
            <w:tcW w:w="2552" w:type="dxa"/>
          </w:tcPr>
          <w:p w14:paraId="63D53C93" w14:textId="4C7D619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Alessandria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(187 Comuni)</w:t>
            </w:r>
          </w:p>
        </w:tc>
        <w:tc>
          <w:tcPr>
            <w:tcW w:w="6379" w:type="dxa"/>
          </w:tcPr>
          <w:p w14:paraId="3C1E8450" w14:textId="752C1913" w:rsidR="00495C2F" w:rsidRPr="00495C2F" w:rsidRDefault="00495C2F" w:rsidP="00512D10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Terre del Giarolo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(29</w:t>
            </w:r>
            <w:r w:rsidR="00BF08C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495C2F" w:rsidRPr="00495C2F" w14:paraId="647108E5" w14:textId="77777777" w:rsidTr="00D5442C">
        <w:tc>
          <w:tcPr>
            <w:tcW w:w="2552" w:type="dxa"/>
          </w:tcPr>
          <w:p w14:paraId="1267CDE0" w14:textId="38A19D0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Vercelli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(82 Comuni)</w:t>
            </w:r>
          </w:p>
        </w:tc>
        <w:tc>
          <w:tcPr>
            <w:tcW w:w="6379" w:type="dxa"/>
          </w:tcPr>
          <w:p w14:paraId="3351CEA3" w14:textId="028C3A5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Valsesia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(36</w:t>
            </w:r>
            <w:r w:rsid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)</w:t>
            </w:r>
          </w:p>
        </w:tc>
      </w:tr>
      <w:tr w:rsidR="00495C2F" w:rsidRPr="00495C2F" w14:paraId="4E6F7654" w14:textId="77777777" w:rsidTr="00D5442C">
        <w:tc>
          <w:tcPr>
            <w:tcW w:w="2552" w:type="dxa"/>
          </w:tcPr>
          <w:p w14:paraId="5F6F368B" w14:textId="74EDD4B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Biella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(74 Comuni)</w:t>
            </w:r>
          </w:p>
        </w:tc>
        <w:tc>
          <w:tcPr>
            <w:tcW w:w="6379" w:type="dxa"/>
          </w:tcPr>
          <w:p w14:paraId="488C6E47" w14:textId="4668C66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Valsesia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(36</w:t>
            </w:r>
            <w:r w:rsid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)</w:t>
            </w:r>
          </w:p>
        </w:tc>
      </w:tr>
      <w:tr w:rsidR="00495C2F" w:rsidRPr="00495C2F" w14:paraId="4DF25510" w14:textId="77777777" w:rsidTr="00D5442C">
        <w:tc>
          <w:tcPr>
            <w:tcW w:w="2552" w:type="dxa"/>
            <w:shd w:val="clear" w:color="auto" w:fill="0070C0"/>
          </w:tcPr>
          <w:p w14:paraId="251B5ADF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LOMBARDIA</w:t>
            </w:r>
          </w:p>
        </w:tc>
        <w:tc>
          <w:tcPr>
            <w:tcW w:w="6379" w:type="dxa"/>
            <w:shd w:val="clear" w:color="auto" w:fill="0070C0"/>
          </w:tcPr>
          <w:p w14:paraId="2579D523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0A157E08" w14:textId="77777777" w:rsidTr="00D5442C">
        <w:tc>
          <w:tcPr>
            <w:tcW w:w="2552" w:type="dxa"/>
          </w:tcPr>
          <w:p w14:paraId="64B62D3D" w14:textId="4C186FA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Como 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(148 Comuni)</w:t>
            </w:r>
          </w:p>
        </w:tc>
        <w:tc>
          <w:tcPr>
            <w:tcW w:w="6379" w:type="dxa"/>
          </w:tcPr>
          <w:p w14:paraId="3BF2629D" w14:textId="555BB76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Alto Lago di Como e Valli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del Lario</w:t>
            </w:r>
            <w:r w:rsidR="000F01CF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512D1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(41)</w:t>
            </w:r>
          </w:p>
          <w:p w14:paraId="5CBDF8A0" w14:textId="2D8600C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Lario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Intelvese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- Lario Ceresio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(34</w:t>
            </w:r>
            <w:r w:rsidR="00212D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7EF7F8EC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1404493B" w14:textId="77777777" w:rsidTr="00D5442C">
        <w:tc>
          <w:tcPr>
            <w:tcW w:w="2552" w:type="dxa"/>
          </w:tcPr>
          <w:p w14:paraId="7590BBF7" w14:textId="38246EF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Lecco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(84 Comuni)</w:t>
            </w:r>
          </w:p>
        </w:tc>
        <w:tc>
          <w:tcPr>
            <w:tcW w:w="6379" w:type="dxa"/>
          </w:tcPr>
          <w:p w14:paraId="4C87E260" w14:textId="6190DFB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Alto Lago di Como e Valli del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Lario</w:t>
            </w:r>
            <w:r w:rsidR="00512D1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(41)</w:t>
            </w:r>
          </w:p>
        </w:tc>
      </w:tr>
      <w:tr w:rsidR="00495C2F" w:rsidRPr="00495C2F" w14:paraId="592E80AD" w14:textId="77777777" w:rsidTr="00D5442C">
        <w:tc>
          <w:tcPr>
            <w:tcW w:w="2552" w:type="dxa"/>
          </w:tcPr>
          <w:p w14:paraId="037A136F" w14:textId="1C4E5BB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Pavia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(186 Comuni)</w:t>
            </w:r>
          </w:p>
        </w:tc>
        <w:tc>
          <w:tcPr>
            <w:tcW w:w="6379" w:type="dxa"/>
          </w:tcPr>
          <w:p w14:paraId="7D48493C" w14:textId="6479E90A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Appennino Lombardo - Alto Oltrepò Pavese</w:t>
            </w:r>
            <w:r w:rsidR="004F595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(15)</w:t>
            </w:r>
          </w:p>
        </w:tc>
      </w:tr>
      <w:tr w:rsidR="00495C2F" w:rsidRPr="00495C2F" w14:paraId="7D301450" w14:textId="77777777" w:rsidTr="00D5442C">
        <w:tc>
          <w:tcPr>
            <w:tcW w:w="2552" w:type="dxa"/>
          </w:tcPr>
          <w:p w14:paraId="680B4CAE" w14:textId="49FEC69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Sondrio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(77 Comuni)</w:t>
            </w:r>
          </w:p>
        </w:tc>
        <w:tc>
          <w:tcPr>
            <w:tcW w:w="6379" w:type="dxa"/>
          </w:tcPr>
          <w:p w14:paraId="14899544" w14:textId="00110C8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Valchiavenna</w:t>
            </w:r>
            <w:r w:rsidR="004F595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(12)</w:t>
            </w:r>
          </w:p>
        </w:tc>
      </w:tr>
      <w:tr w:rsidR="00495C2F" w:rsidRPr="00495C2F" w14:paraId="5A9353B1" w14:textId="77777777" w:rsidTr="00D5442C">
        <w:tc>
          <w:tcPr>
            <w:tcW w:w="2552" w:type="dxa"/>
          </w:tcPr>
          <w:p w14:paraId="38882D42" w14:textId="31780F2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Brescia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(205 Comuni)</w:t>
            </w:r>
          </w:p>
        </w:tc>
        <w:tc>
          <w:tcPr>
            <w:tcW w:w="6379" w:type="dxa"/>
          </w:tcPr>
          <w:p w14:paraId="5B3D21E7" w14:textId="5B73B621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Valcamonica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(35</w:t>
            </w:r>
            <w:r w:rsidR="00212D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14:paraId="6E47FBCA" w14:textId="7DBB4D86" w:rsidR="00495C2F" w:rsidRPr="00495C2F" w:rsidRDefault="00495C2F" w:rsidP="004F595D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Valtrompia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(14</w:t>
            </w:r>
            <w:r w:rsidR="00212D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495C2F" w:rsidRPr="00495C2F" w14:paraId="45E82984" w14:textId="77777777" w:rsidTr="00D5442C">
        <w:tc>
          <w:tcPr>
            <w:tcW w:w="2552" w:type="dxa"/>
            <w:shd w:val="clear" w:color="auto" w:fill="0070C0"/>
          </w:tcPr>
          <w:p w14:paraId="60FE88F0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VENETO</w:t>
            </w:r>
          </w:p>
        </w:tc>
        <w:tc>
          <w:tcPr>
            <w:tcW w:w="6379" w:type="dxa"/>
            <w:shd w:val="clear" w:color="auto" w:fill="0070C0"/>
          </w:tcPr>
          <w:p w14:paraId="1FD83EA6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3B6BB409" w14:textId="77777777" w:rsidTr="00D5442C">
        <w:tc>
          <w:tcPr>
            <w:tcW w:w="2552" w:type="dxa"/>
          </w:tcPr>
          <w:p w14:paraId="768D842B" w14:textId="003FCBE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Belluno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(61 Comuni)</w:t>
            </w:r>
          </w:p>
        </w:tc>
        <w:tc>
          <w:tcPr>
            <w:tcW w:w="6379" w:type="dxa"/>
          </w:tcPr>
          <w:p w14:paraId="2E144FF2" w14:textId="104CAFE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Agordino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(16)</w:t>
            </w:r>
          </w:p>
          <w:p w14:paraId="5C4BC729" w14:textId="0FF1053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Comelico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(5)</w:t>
            </w:r>
          </w:p>
          <w:p w14:paraId="62245E56" w14:textId="418A28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Alpago Zoldo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(8)</w:t>
            </w:r>
          </w:p>
          <w:p w14:paraId="2843FF68" w14:textId="0240A0A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Cadore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(13)</w:t>
            </w:r>
          </w:p>
          <w:p w14:paraId="53A9FD6A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133D6615" w14:textId="77777777" w:rsidTr="00D5442C">
        <w:tc>
          <w:tcPr>
            <w:tcW w:w="2552" w:type="dxa"/>
          </w:tcPr>
          <w:p w14:paraId="2DE67FA8" w14:textId="2BCF1B4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Rovigo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(50 Comuni)</w:t>
            </w:r>
          </w:p>
        </w:tc>
        <w:tc>
          <w:tcPr>
            <w:tcW w:w="6379" w:type="dxa"/>
          </w:tcPr>
          <w:p w14:paraId="7EBC2752" w14:textId="544C3FC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Contratto di Foce - Delta del Po</w:t>
            </w:r>
            <w:r w:rsidR="004F595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(7)</w:t>
            </w:r>
          </w:p>
        </w:tc>
      </w:tr>
      <w:tr w:rsidR="00495C2F" w:rsidRPr="00495C2F" w14:paraId="7ECE9C35" w14:textId="77777777" w:rsidTr="00D5442C">
        <w:tc>
          <w:tcPr>
            <w:tcW w:w="2552" w:type="dxa"/>
          </w:tcPr>
          <w:p w14:paraId="3581FFAF" w14:textId="6740D0C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Vicenza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(114 Comuni)</w:t>
            </w:r>
          </w:p>
        </w:tc>
        <w:tc>
          <w:tcPr>
            <w:tcW w:w="6379" w:type="dxa"/>
          </w:tcPr>
          <w:p w14:paraId="573A9E0F" w14:textId="1CC9995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Spettabile Reggenza</w:t>
            </w:r>
            <w:r w:rsidR="004F595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(7)</w:t>
            </w:r>
          </w:p>
        </w:tc>
      </w:tr>
      <w:tr w:rsidR="00495C2F" w:rsidRPr="00495C2F" w14:paraId="7EB6764F" w14:textId="77777777" w:rsidTr="00D5442C">
        <w:tc>
          <w:tcPr>
            <w:tcW w:w="2552" w:type="dxa"/>
            <w:shd w:val="clear" w:color="auto" w:fill="0070C0"/>
          </w:tcPr>
          <w:p w14:paraId="574B99A2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LIGURIA</w:t>
            </w:r>
          </w:p>
        </w:tc>
        <w:tc>
          <w:tcPr>
            <w:tcW w:w="6379" w:type="dxa"/>
            <w:shd w:val="clear" w:color="auto" w:fill="0070C0"/>
          </w:tcPr>
          <w:p w14:paraId="0A51C9C6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5F681020" w14:textId="77777777" w:rsidTr="00D5442C">
        <w:tc>
          <w:tcPr>
            <w:tcW w:w="2552" w:type="dxa"/>
          </w:tcPr>
          <w:p w14:paraId="38E5BC8C" w14:textId="2B22F9A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Imperia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(66 Comuni)</w:t>
            </w:r>
          </w:p>
        </w:tc>
        <w:tc>
          <w:tcPr>
            <w:tcW w:w="6379" w:type="dxa"/>
          </w:tcPr>
          <w:p w14:paraId="607F0679" w14:textId="19846BC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Alta Valle Arroscia</w:t>
            </w:r>
            <w:r w:rsidR="00107C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(11)</w:t>
            </w:r>
          </w:p>
          <w:p w14:paraId="042831F8" w14:textId="6612889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Imperiese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(19)</w:t>
            </w:r>
          </w:p>
          <w:p w14:paraId="15119AB0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3D6EF3AB" w14:textId="77777777" w:rsidTr="00D5442C">
        <w:tc>
          <w:tcPr>
            <w:tcW w:w="2552" w:type="dxa"/>
          </w:tcPr>
          <w:p w14:paraId="363F92B0" w14:textId="066A0D8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Savona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(69 Comuni)</w:t>
            </w:r>
          </w:p>
        </w:tc>
        <w:tc>
          <w:tcPr>
            <w:tcW w:w="6379" w:type="dxa"/>
          </w:tcPr>
          <w:p w14:paraId="243153AF" w14:textId="2E6B2BA2" w:rsid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Beigua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SOL</w:t>
            </w:r>
            <w:r w:rsidR="00107C7B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</w:t>
            </w:r>
            <w:r w:rsidR="00DD2E1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condivisa con Genova</w:t>
            </w:r>
            <w:r w:rsidR="002158E3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, 4 Comuni).</w:t>
            </w:r>
          </w:p>
          <w:p w14:paraId="3FEB3577" w14:textId="655A2CED" w:rsidR="00DD2E10" w:rsidRPr="00495C2F" w:rsidRDefault="00DD2E10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Bormida Ligure (13)</w:t>
            </w:r>
          </w:p>
        </w:tc>
      </w:tr>
      <w:tr w:rsidR="00495C2F" w:rsidRPr="00495C2F" w14:paraId="0A0B05B0" w14:textId="77777777" w:rsidTr="00D5442C">
        <w:tc>
          <w:tcPr>
            <w:tcW w:w="2552" w:type="dxa"/>
          </w:tcPr>
          <w:p w14:paraId="6486AE00" w14:textId="1DAFDCFA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 Spezia</w:t>
            </w:r>
            <w:r w:rsidR="000F01C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(32 Comuni)</w:t>
            </w:r>
          </w:p>
        </w:tc>
        <w:tc>
          <w:tcPr>
            <w:tcW w:w="6379" w:type="dxa"/>
          </w:tcPr>
          <w:p w14:paraId="1DCE2FC3" w14:textId="67F07CC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 di Vara</w:t>
            </w:r>
            <w:r w:rsidR="00BC6B0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(15)</w:t>
            </w:r>
          </w:p>
        </w:tc>
      </w:tr>
      <w:tr w:rsidR="00495C2F" w:rsidRPr="00495C2F" w14:paraId="73F5216A" w14:textId="77777777" w:rsidTr="00D5442C">
        <w:tc>
          <w:tcPr>
            <w:tcW w:w="2552" w:type="dxa"/>
            <w:shd w:val="clear" w:color="auto" w:fill="0070C0"/>
          </w:tcPr>
          <w:p w14:paraId="63E5ED1A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EMILIA ROMAGNA</w:t>
            </w:r>
          </w:p>
        </w:tc>
        <w:tc>
          <w:tcPr>
            <w:tcW w:w="6379" w:type="dxa"/>
            <w:shd w:val="clear" w:color="auto" w:fill="0070C0"/>
          </w:tcPr>
          <w:p w14:paraId="06C5F92F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25509449" w14:textId="77777777" w:rsidTr="00D5442C">
        <w:tc>
          <w:tcPr>
            <w:tcW w:w="2552" w:type="dxa"/>
          </w:tcPr>
          <w:p w14:paraId="1E0FD932" w14:textId="2D3DDBF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Reggio Emilia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(42 Comuni)</w:t>
            </w:r>
          </w:p>
        </w:tc>
        <w:tc>
          <w:tcPr>
            <w:tcW w:w="6379" w:type="dxa"/>
          </w:tcPr>
          <w:p w14:paraId="610C060A" w14:textId="51381DD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Appennino Emiliano</w:t>
            </w:r>
            <w:r w:rsidR="00BC6B0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(11)</w:t>
            </w:r>
          </w:p>
        </w:tc>
      </w:tr>
      <w:tr w:rsidR="00495C2F" w:rsidRPr="00495C2F" w14:paraId="35F2ED07" w14:textId="77777777" w:rsidTr="00D5442C">
        <w:tc>
          <w:tcPr>
            <w:tcW w:w="2552" w:type="dxa"/>
          </w:tcPr>
          <w:p w14:paraId="1F558884" w14:textId="296333C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Parma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(44 Comuni)</w:t>
            </w:r>
          </w:p>
        </w:tc>
        <w:tc>
          <w:tcPr>
            <w:tcW w:w="6379" w:type="dxa"/>
          </w:tcPr>
          <w:p w14:paraId="2F62FB2F" w14:textId="04F58A5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Appennino Piacentino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Parmense </w:t>
            </w:r>
            <w:r w:rsidR="002158E3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(19)</w:t>
            </w:r>
          </w:p>
          <w:p w14:paraId="034AFBA4" w14:textId="03C2618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Appennino Parma Est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(9)</w:t>
            </w:r>
          </w:p>
          <w:p w14:paraId="6EA47394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1C8D8B63" w14:textId="77777777" w:rsidTr="00D5442C">
        <w:tc>
          <w:tcPr>
            <w:tcW w:w="2552" w:type="dxa"/>
          </w:tcPr>
          <w:p w14:paraId="437C047A" w14:textId="1CBC41E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Piacenza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(46 Comuni)</w:t>
            </w:r>
          </w:p>
        </w:tc>
        <w:tc>
          <w:tcPr>
            <w:tcW w:w="6379" w:type="dxa"/>
          </w:tcPr>
          <w:p w14:paraId="35177274" w14:textId="4ADA983B" w:rsid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Appennino Piacentino Parmense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(19)</w:t>
            </w:r>
          </w:p>
          <w:p w14:paraId="07C49B7C" w14:textId="579F1C7C" w:rsidR="00DD2E10" w:rsidRPr="00495C2F" w:rsidRDefault="00DD2E10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Alta Val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</w:t>
            </w:r>
            <w:r w:rsidRP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rebbia e Val Tidone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(9)</w:t>
            </w:r>
          </w:p>
        </w:tc>
      </w:tr>
      <w:tr w:rsidR="00495C2F" w:rsidRPr="00495C2F" w14:paraId="18792072" w14:textId="77777777" w:rsidTr="00D5442C">
        <w:tc>
          <w:tcPr>
            <w:tcW w:w="2552" w:type="dxa"/>
          </w:tcPr>
          <w:p w14:paraId="7D29164D" w14:textId="129FAA6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Ferrara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(21 Comuni)</w:t>
            </w:r>
          </w:p>
        </w:tc>
        <w:tc>
          <w:tcPr>
            <w:tcW w:w="6379" w:type="dxa"/>
          </w:tcPr>
          <w:p w14:paraId="2C4970CD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Basso Ferrarese</w:t>
            </w:r>
          </w:p>
        </w:tc>
      </w:tr>
      <w:tr w:rsidR="00495C2F" w:rsidRPr="00495C2F" w14:paraId="218C6B97" w14:textId="77777777" w:rsidTr="00D5442C">
        <w:tc>
          <w:tcPr>
            <w:tcW w:w="2552" w:type="dxa"/>
          </w:tcPr>
          <w:p w14:paraId="79DE8330" w14:textId="3FBC192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Rimini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(27 Comuni)</w:t>
            </w:r>
          </w:p>
        </w:tc>
        <w:tc>
          <w:tcPr>
            <w:tcW w:w="6379" w:type="dxa"/>
          </w:tcPr>
          <w:p w14:paraId="685BB71B" w14:textId="63C6E18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Alta Valmarecchia</w:t>
            </w:r>
            <w:r w:rsidR="00215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(9)</w:t>
            </w:r>
          </w:p>
        </w:tc>
      </w:tr>
      <w:tr w:rsidR="00495C2F" w:rsidRPr="00495C2F" w14:paraId="7BC48C71" w14:textId="77777777" w:rsidTr="00D5442C">
        <w:tc>
          <w:tcPr>
            <w:tcW w:w="2552" w:type="dxa"/>
          </w:tcPr>
          <w:p w14:paraId="23083F19" w14:textId="7E10238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Forlì-Cesena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(30 Comuni)</w:t>
            </w:r>
          </w:p>
        </w:tc>
        <w:tc>
          <w:tcPr>
            <w:tcW w:w="6379" w:type="dxa"/>
          </w:tcPr>
          <w:p w14:paraId="0E696140" w14:textId="5641CF5A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Appennino Forlivese e Cesenate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(9)</w:t>
            </w:r>
          </w:p>
        </w:tc>
      </w:tr>
      <w:tr w:rsidR="00495C2F" w:rsidRPr="00495C2F" w14:paraId="3125CEE1" w14:textId="77777777" w:rsidTr="00D5442C">
        <w:tc>
          <w:tcPr>
            <w:tcW w:w="2552" w:type="dxa"/>
          </w:tcPr>
          <w:p w14:paraId="3E4CD418" w14:textId="7F6E0A7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Modena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(47 Comuni)</w:t>
            </w:r>
          </w:p>
        </w:tc>
        <w:tc>
          <w:tcPr>
            <w:tcW w:w="6379" w:type="dxa"/>
          </w:tcPr>
          <w:p w14:paraId="24717F1A" w14:textId="5CDEDFB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Appennino Modenese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(18)</w:t>
            </w:r>
          </w:p>
        </w:tc>
      </w:tr>
      <w:tr w:rsidR="00495C2F" w:rsidRPr="00495C2F" w14:paraId="7CA98A82" w14:textId="77777777" w:rsidTr="00D5442C">
        <w:tc>
          <w:tcPr>
            <w:tcW w:w="2552" w:type="dxa"/>
            <w:shd w:val="clear" w:color="auto" w:fill="0070C0"/>
          </w:tcPr>
          <w:p w14:paraId="127E5DB1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TOSCANA</w:t>
            </w:r>
          </w:p>
        </w:tc>
        <w:tc>
          <w:tcPr>
            <w:tcW w:w="6379" w:type="dxa"/>
            <w:shd w:val="clear" w:color="auto" w:fill="0070C0"/>
          </w:tcPr>
          <w:p w14:paraId="14DCFB83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7650095E" w14:textId="77777777" w:rsidTr="00D5442C">
        <w:tc>
          <w:tcPr>
            <w:tcW w:w="2552" w:type="dxa"/>
          </w:tcPr>
          <w:p w14:paraId="0F3386BB" w14:textId="1656D0EA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Arezzo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(36 Comuni)</w:t>
            </w:r>
          </w:p>
        </w:tc>
        <w:tc>
          <w:tcPr>
            <w:tcW w:w="6379" w:type="dxa"/>
          </w:tcPr>
          <w:p w14:paraId="46C45DD2" w14:textId="3A6FA62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Casentino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–</w:t>
            </w: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Valtiberina</w:t>
            </w:r>
            <w:r w:rsidR="00215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(19)</w:t>
            </w:r>
          </w:p>
        </w:tc>
      </w:tr>
      <w:tr w:rsidR="00495C2F" w:rsidRPr="00495C2F" w14:paraId="157F2B23" w14:textId="77777777" w:rsidTr="00D5442C">
        <w:tc>
          <w:tcPr>
            <w:tcW w:w="2552" w:type="dxa"/>
          </w:tcPr>
          <w:p w14:paraId="7784514F" w14:textId="2BBC610A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Lucca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(33 Comuni)</w:t>
            </w:r>
          </w:p>
        </w:tc>
        <w:tc>
          <w:tcPr>
            <w:tcW w:w="6379" w:type="dxa"/>
          </w:tcPr>
          <w:p w14:paraId="2A302EC6" w14:textId="0FAE078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Garfagnana-Lunigiana - Media Valle del Serchio - Appennino Pistoiese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(19)</w:t>
            </w:r>
          </w:p>
        </w:tc>
      </w:tr>
      <w:tr w:rsidR="00495C2F" w:rsidRPr="00495C2F" w14:paraId="4B8CC16F" w14:textId="77777777" w:rsidTr="00D5442C">
        <w:tc>
          <w:tcPr>
            <w:tcW w:w="2552" w:type="dxa"/>
          </w:tcPr>
          <w:p w14:paraId="4AA6A2F3" w14:textId="0FD7B10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Pistoia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(20 Comuni)</w:t>
            </w:r>
          </w:p>
        </w:tc>
        <w:tc>
          <w:tcPr>
            <w:tcW w:w="6379" w:type="dxa"/>
          </w:tcPr>
          <w:p w14:paraId="75C617D2" w14:textId="520F6A5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Garfagnana-Lunigiana - Media Valle del Serchio - Appennino Pistoiese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(19)</w:t>
            </w:r>
          </w:p>
        </w:tc>
      </w:tr>
      <w:tr w:rsidR="00495C2F" w:rsidRPr="00495C2F" w14:paraId="4FB72020" w14:textId="77777777" w:rsidTr="00D5442C">
        <w:tc>
          <w:tcPr>
            <w:tcW w:w="2552" w:type="dxa"/>
          </w:tcPr>
          <w:p w14:paraId="71E599C3" w14:textId="739E4DA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Massa Carrara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(17 Comuni)</w:t>
            </w:r>
          </w:p>
        </w:tc>
        <w:tc>
          <w:tcPr>
            <w:tcW w:w="6379" w:type="dxa"/>
          </w:tcPr>
          <w:p w14:paraId="1048B0E6" w14:textId="59BD999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Garfagnana-Lunigiana - Media Valle del Serchio - Appennino Pistoiese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(19)</w:t>
            </w:r>
          </w:p>
        </w:tc>
      </w:tr>
      <w:tr w:rsidR="00495C2F" w:rsidRPr="00495C2F" w14:paraId="79BC508B" w14:textId="77777777" w:rsidTr="00D5442C">
        <w:tc>
          <w:tcPr>
            <w:tcW w:w="2552" w:type="dxa"/>
          </w:tcPr>
          <w:p w14:paraId="3F584AC9" w14:textId="3F11DB3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Prato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 Comuni)</w:t>
            </w:r>
          </w:p>
        </w:tc>
        <w:tc>
          <w:tcPr>
            <w:tcW w:w="6379" w:type="dxa"/>
          </w:tcPr>
          <w:p w14:paraId="3939CEB9" w14:textId="2340B5C0" w:rsidR="00495C2F" w:rsidRPr="001F74FD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1F74FD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Valdarno e Valdisieve, Mugello, Val Bisenzio</w:t>
            </w:r>
            <w:r w:rsidR="002158E3" w:rsidRPr="001F74FD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(5 comuni distribuiti tra Firenze Arezzo e Prato)</w:t>
            </w:r>
          </w:p>
        </w:tc>
      </w:tr>
      <w:tr w:rsidR="002158E3" w:rsidRPr="00495C2F" w14:paraId="440F06E9" w14:textId="77777777" w:rsidTr="00D5442C">
        <w:tc>
          <w:tcPr>
            <w:tcW w:w="2552" w:type="dxa"/>
          </w:tcPr>
          <w:p w14:paraId="63BEF673" w14:textId="682B9A3E" w:rsidR="002158E3" w:rsidRPr="00495C2F" w:rsidRDefault="002158E3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Arezzo (36 Comuni)</w:t>
            </w:r>
          </w:p>
        </w:tc>
        <w:tc>
          <w:tcPr>
            <w:tcW w:w="6379" w:type="dxa"/>
          </w:tcPr>
          <w:p w14:paraId="30017C6C" w14:textId="0F890405" w:rsidR="002158E3" w:rsidRPr="001F74FD" w:rsidRDefault="002158E3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1F74FD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Valdarno e Valdisieve, Mugello, Val Bisenzio (5 comuni distribuiti tra Firenze Arezzo e Prato)</w:t>
            </w:r>
          </w:p>
        </w:tc>
      </w:tr>
      <w:tr w:rsidR="00495C2F" w:rsidRPr="00495C2F" w14:paraId="57591666" w14:textId="77777777" w:rsidTr="00D5442C">
        <w:tc>
          <w:tcPr>
            <w:tcW w:w="2552" w:type="dxa"/>
          </w:tcPr>
          <w:p w14:paraId="486ACD52" w14:textId="5BC4EA8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(37 Comuni)</w:t>
            </w:r>
          </w:p>
        </w:tc>
        <w:tc>
          <w:tcPr>
            <w:tcW w:w="6379" w:type="dxa"/>
          </w:tcPr>
          <w:p w14:paraId="4453A120" w14:textId="440AC0E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Alta Valdera - Alta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Valdicecina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- Colline Metallifere </w:t>
            </w:r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–</w:t>
            </w: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Valdimerse</w:t>
            </w:r>
            <w:proofErr w:type="spellEnd"/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DD2E1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(19)</w:t>
            </w:r>
          </w:p>
        </w:tc>
      </w:tr>
      <w:tr w:rsidR="00495C2F" w:rsidRPr="00495C2F" w14:paraId="1B86F98D" w14:textId="77777777" w:rsidTr="00D5442C">
        <w:tc>
          <w:tcPr>
            <w:tcW w:w="2552" w:type="dxa"/>
          </w:tcPr>
          <w:p w14:paraId="0FBD35BA" w14:textId="6E71510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Siena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(35 Comuni)</w:t>
            </w:r>
          </w:p>
        </w:tc>
        <w:tc>
          <w:tcPr>
            <w:tcW w:w="6379" w:type="dxa"/>
          </w:tcPr>
          <w:p w14:paraId="68C2DEE9" w14:textId="3438A03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Alta Valdera - Alta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Valdicecina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- Colline Metallifere –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Valdimerse</w:t>
            </w:r>
            <w:proofErr w:type="spellEnd"/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(19)</w:t>
            </w:r>
          </w:p>
          <w:p w14:paraId="16EE6F48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542FE071" w14:textId="322352A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Amiata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Valdorcia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- Amiata Grossetana - Colline del Fiora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(19)</w:t>
            </w:r>
          </w:p>
          <w:p w14:paraId="4BC22D3C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734E3CFF" w14:textId="28B9F78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1F74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 di Chiana Senese</w:t>
            </w:r>
            <w:r w:rsidR="00DD2E10" w:rsidRPr="001F74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(10)</w:t>
            </w:r>
          </w:p>
        </w:tc>
      </w:tr>
      <w:tr w:rsidR="00495C2F" w:rsidRPr="00495C2F" w14:paraId="79A9E904" w14:textId="77777777" w:rsidTr="00D5442C">
        <w:tc>
          <w:tcPr>
            <w:tcW w:w="2552" w:type="dxa"/>
          </w:tcPr>
          <w:p w14:paraId="242053E4" w14:textId="01EBD1F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Grosseto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(28 Comuni)</w:t>
            </w:r>
          </w:p>
        </w:tc>
        <w:tc>
          <w:tcPr>
            <w:tcW w:w="6379" w:type="dxa"/>
          </w:tcPr>
          <w:p w14:paraId="073F181D" w14:textId="1F909B4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Alta Valdera - Alta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Valdicecina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- Colline Metallifere –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Valdimerse</w:t>
            </w:r>
            <w:proofErr w:type="spellEnd"/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</w:t>
            </w:r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19)</w:t>
            </w:r>
          </w:p>
          <w:p w14:paraId="1A8CD28D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27761FAD" w14:textId="70B7CBE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Amiata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Valdorcia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- Amiata Grossetana - Colline del Fiora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</w:t>
            </w:r>
            <w:r w:rsidR="00DD2E1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19)</w:t>
            </w:r>
          </w:p>
        </w:tc>
      </w:tr>
      <w:tr w:rsidR="00495C2F" w:rsidRPr="00495C2F" w14:paraId="2C2E1360" w14:textId="77777777" w:rsidTr="00D5442C">
        <w:tc>
          <w:tcPr>
            <w:tcW w:w="2552" w:type="dxa"/>
            <w:shd w:val="clear" w:color="auto" w:fill="0070C0"/>
          </w:tcPr>
          <w:p w14:paraId="065D2F00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UMBRIA</w:t>
            </w:r>
          </w:p>
        </w:tc>
        <w:tc>
          <w:tcPr>
            <w:tcW w:w="6379" w:type="dxa"/>
            <w:shd w:val="clear" w:color="auto" w:fill="0070C0"/>
          </w:tcPr>
          <w:p w14:paraId="3FE0BFE2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04E65CBA" w14:textId="77777777" w:rsidTr="00D5442C">
        <w:tc>
          <w:tcPr>
            <w:tcW w:w="2552" w:type="dxa"/>
          </w:tcPr>
          <w:p w14:paraId="7EAA0E48" w14:textId="3A5526C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Perugia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(59 Comuni)</w:t>
            </w:r>
          </w:p>
        </w:tc>
        <w:tc>
          <w:tcPr>
            <w:tcW w:w="6379" w:type="dxa"/>
          </w:tcPr>
          <w:p w14:paraId="5CF2DA23" w14:textId="193DB33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Nord Est Umbria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(17)</w:t>
            </w:r>
          </w:p>
          <w:p w14:paraId="6BA765D3" w14:textId="0AC674E5" w:rsidR="00495C2F" w:rsidRPr="00BF08C1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Nerina</w:t>
            </w:r>
            <w:r w:rsidR="002158E3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(14)</w:t>
            </w:r>
          </w:p>
          <w:p w14:paraId="0FFA4C30" w14:textId="76CAE30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Media Valle del Tevere e Umbria meridionale</w:t>
            </w:r>
            <w:r w:rsidR="00DD2E1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(8)</w:t>
            </w:r>
          </w:p>
          <w:p w14:paraId="10497CB8" w14:textId="4210BA0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Unione di Comuni del Trasimeno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(8)</w:t>
            </w:r>
          </w:p>
          <w:p w14:paraId="6E4269EB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68F2FA46" w14:textId="77777777" w:rsidTr="00D5442C">
        <w:tc>
          <w:tcPr>
            <w:tcW w:w="2552" w:type="dxa"/>
          </w:tcPr>
          <w:p w14:paraId="148004E5" w14:textId="790D25A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Terni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(33 Comuni)</w:t>
            </w:r>
          </w:p>
        </w:tc>
        <w:tc>
          <w:tcPr>
            <w:tcW w:w="6379" w:type="dxa"/>
          </w:tcPr>
          <w:p w14:paraId="0E4876F2" w14:textId="0F63A82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Sud Ovest Orvietano</w:t>
            </w:r>
            <w:r w:rsidR="00215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(20)</w:t>
            </w:r>
          </w:p>
          <w:p w14:paraId="0D07ECC5" w14:textId="72D6FB9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</w:t>
            </w:r>
            <w:proofErr w:type="spellEnd"/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Nerina</w:t>
            </w:r>
            <w:r w:rsidR="002158E3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(14)</w:t>
            </w:r>
          </w:p>
          <w:p w14:paraId="041306A7" w14:textId="7E40354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Media Valle del Tevere e Umbria meridionale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(8)</w:t>
            </w:r>
          </w:p>
        </w:tc>
      </w:tr>
      <w:tr w:rsidR="00495C2F" w:rsidRPr="00495C2F" w14:paraId="58EB7D64" w14:textId="77777777" w:rsidTr="00D5442C">
        <w:tc>
          <w:tcPr>
            <w:tcW w:w="2552" w:type="dxa"/>
            <w:shd w:val="clear" w:color="auto" w:fill="0070C0"/>
          </w:tcPr>
          <w:p w14:paraId="4C7845D1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MARCHE</w:t>
            </w:r>
          </w:p>
        </w:tc>
        <w:tc>
          <w:tcPr>
            <w:tcW w:w="6379" w:type="dxa"/>
            <w:shd w:val="clear" w:color="auto" w:fill="0070C0"/>
          </w:tcPr>
          <w:p w14:paraId="3D1B3C77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95C2F" w:rsidRPr="00495C2F" w14:paraId="3900693D" w14:textId="77777777" w:rsidTr="00D5442C">
        <w:tc>
          <w:tcPr>
            <w:tcW w:w="2552" w:type="dxa"/>
          </w:tcPr>
          <w:p w14:paraId="5D364F33" w14:textId="25051AD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Ancona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(47 Comuni)</w:t>
            </w:r>
          </w:p>
        </w:tc>
        <w:tc>
          <w:tcPr>
            <w:tcW w:w="6379" w:type="dxa"/>
          </w:tcPr>
          <w:p w14:paraId="07894A9F" w14:textId="1920AF5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Appennino Basso Pesarese e Anconetano</w:t>
            </w:r>
            <w:r w:rsidR="002158E3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(10)</w:t>
            </w:r>
          </w:p>
        </w:tc>
      </w:tr>
      <w:tr w:rsidR="00495C2F" w:rsidRPr="00495C2F" w14:paraId="747C2E79" w14:textId="77777777" w:rsidTr="00D5442C">
        <w:tc>
          <w:tcPr>
            <w:tcW w:w="2552" w:type="dxa"/>
          </w:tcPr>
          <w:p w14:paraId="5FD21AD5" w14:textId="7AD2043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Pesaro Urbino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(50 Comuni)</w:t>
            </w:r>
          </w:p>
        </w:tc>
        <w:tc>
          <w:tcPr>
            <w:tcW w:w="6379" w:type="dxa"/>
          </w:tcPr>
          <w:p w14:paraId="1A5C36C5" w14:textId="19F6271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Appennino Basso Pesarese e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Anconetano</w:t>
            </w:r>
            <w:r w:rsidR="002158E3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(10)</w:t>
            </w:r>
          </w:p>
          <w:p w14:paraId="5EADF1CA" w14:textId="3DE5806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Montefeltro e Alta Valle del Metauro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(17)</w:t>
            </w:r>
          </w:p>
          <w:p w14:paraId="5221C47F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19504BA9" w14:textId="77777777" w:rsidTr="00D5442C">
        <w:tc>
          <w:tcPr>
            <w:tcW w:w="2552" w:type="dxa"/>
          </w:tcPr>
          <w:p w14:paraId="5B0FDF34" w14:textId="0C46763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Ascoli Piceno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(33 Comuni)</w:t>
            </w:r>
          </w:p>
        </w:tc>
        <w:tc>
          <w:tcPr>
            <w:tcW w:w="6379" w:type="dxa"/>
          </w:tcPr>
          <w:p w14:paraId="0AF2A27D" w14:textId="5A381AA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Piceno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(17)</w:t>
            </w:r>
          </w:p>
        </w:tc>
      </w:tr>
      <w:tr w:rsidR="00495C2F" w:rsidRPr="00495C2F" w14:paraId="3ED09789" w14:textId="77777777" w:rsidTr="00D5442C">
        <w:tc>
          <w:tcPr>
            <w:tcW w:w="2552" w:type="dxa"/>
          </w:tcPr>
          <w:p w14:paraId="3873595A" w14:textId="54BB49A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Macerata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(55 Comuni)</w:t>
            </w:r>
          </w:p>
        </w:tc>
        <w:tc>
          <w:tcPr>
            <w:tcW w:w="6379" w:type="dxa"/>
          </w:tcPr>
          <w:p w14:paraId="4DB44C6A" w14:textId="76C4C942" w:rsid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Alto Maceratese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(17)</w:t>
            </w:r>
          </w:p>
          <w:p w14:paraId="3C37AC0F" w14:textId="45C789E6" w:rsidR="00DD2E10" w:rsidRPr="00495C2F" w:rsidRDefault="00DD2E10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Unione Montana Potenza Esino e Musone (12)</w:t>
            </w:r>
          </w:p>
        </w:tc>
      </w:tr>
      <w:tr w:rsidR="00495C2F" w:rsidRPr="00495C2F" w14:paraId="6BD15C20" w14:textId="77777777" w:rsidTr="00D5442C">
        <w:tc>
          <w:tcPr>
            <w:tcW w:w="2552" w:type="dxa"/>
          </w:tcPr>
          <w:p w14:paraId="635245AC" w14:textId="1596278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Fermo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(40 Comuni)</w:t>
            </w:r>
          </w:p>
        </w:tc>
        <w:tc>
          <w:tcPr>
            <w:tcW w:w="6379" w:type="dxa"/>
          </w:tcPr>
          <w:p w14:paraId="6647CEB1" w14:textId="5ACAEFD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Appennino Alto Fermano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(7)</w:t>
            </w:r>
          </w:p>
        </w:tc>
      </w:tr>
      <w:tr w:rsidR="00495C2F" w:rsidRPr="00495C2F" w14:paraId="3B6120FA" w14:textId="77777777" w:rsidTr="00D5442C">
        <w:tc>
          <w:tcPr>
            <w:tcW w:w="2552" w:type="dxa"/>
            <w:shd w:val="clear" w:color="auto" w:fill="0070C0"/>
          </w:tcPr>
          <w:p w14:paraId="59C8332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LAZIO</w:t>
            </w:r>
          </w:p>
        </w:tc>
        <w:tc>
          <w:tcPr>
            <w:tcW w:w="6379" w:type="dxa"/>
            <w:shd w:val="clear" w:color="auto" w:fill="0070C0"/>
          </w:tcPr>
          <w:p w14:paraId="706059C7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48ABF771" w14:textId="77777777" w:rsidTr="00D5442C">
        <w:tc>
          <w:tcPr>
            <w:tcW w:w="2552" w:type="dxa"/>
          </w:tcPr>
          <w:p w14:paraId="183AF010" w14:textId="6A165A8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Viterbo</w:t>
            </w:r>
            <w:r w:rsidR="00DD2E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(60 Comuni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79" w:type="dxa"/>
          </w:tcPr>
          <w:p w14:paraId="386FC3BB" w14:textId="0CE0927C" w:rsid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Alta Tuscia Antica Città del Castro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(19)</w:t>
            </w:r>
          </w:p>
          <w:p w14:paraId="2818561A" w14:textId="41E8A743" w:rsidR="00DD2E10" w:rsidRPr="00495C2F" w:rsidRDefault="00DD2E10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Etrusco Cimina (16)</w:t>
            </w:r>
          </w:p>
        </w:tc>
      </w:tr>
      <w:tr w:rsidR="00495C2F" w:rsidRPr="00495C2F" w14:paraId="4D54C636" w14:textId="77777777" w:rsidTr="00D5442C">
        <w:tc>
          <w:tcPr>
            <w:tcW w:w="2552" w:type="dxa"/>
          </w:tcPr>
          <w:p w14:paraId="08407548" w14:textId="4CA62AE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Rieti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(73 Comuni)</w:t>
            </w:r>
          </w:p>
        </w:tc>
        <w:tc>
          <w:tcPr>
            <w:tcW w:w="6379" w:type="dxa"/>
          </w:tcPr>
          <w:p w14:paraId="2BE00CB8" w14:textId="7EE699D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Monti Reatini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(31)</w:t>
            </w:r>
          </w:p>
        </w:tc>
      </w:tr>
      <w:tr w:rsidR="00495C2F" w:rsidRPr="00495C2F" w14:paraId="59EECB64" w14:textId="77777777" w:rsidTr="00D5442C">
        <w:tc>
          <w:tcPr>
            <w:tcW w:w="2552" w:type="dxa"/>
          </w:tcPr>
          <w:p w14:paraId="4844D783" w14:textId="57B7BAA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Frosinone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(91 Comuni)</w:t>
            </w:r>
          </w:p>
        </w:tc>
        <w:tc>
          <w:tcPr>
            <w:tcW w:w="6379" w:type="dxa"/>
          </w:tcPr>
          <w:p w14:paraId="140CAAE3" w14:textId="6188240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Monti Simbruini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(7)</w:t>
            </w:r>
          </w:p>
          <w:p w14:paraId="45048854" w14:textId="25BB9BF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Valle del Comino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(20)</w:t>
            </w:r>
          </w:p>
        </w:tc>
      </w:tr>
      <w:tr w:rsidR="00495C2F" w:rsidRPr="00495C2F" w14:paraId="0D4D5A4D" w14:textId="77777777" w:rsidTr="00D5442C">
        <w:tc>
          <w:tcPr>
            <w:tcW w:w="2552" w:type="dxa"/>
          </w:tcPr>
          <w:p w14:paraId="38FDA31B" w14:textId="7EF65A5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Latina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(33 Comuni)</w:t>
            </w:r>
          </w:p>
        </w:tc>
        <w:tc>
          <w:tcPr>
            <w:tcW w:w="6379" w:type="dxa"/>
          </w:tcPr>
          <w:p w14:paraId="75670C3C" w14:textId="0C10672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Monti Lepini (</w:t>
            </w:r>
            <w:r w:rsidRPr="00D5442C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condivisa con la Città Metropolitana di </w:t>
            </w: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R</w:t>
            </w:r>
            <w:r w:rsidRPr="00D5442C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oma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, 13 Comuni)</w:t>
            </w:r>
          </w:p>
        </w:tc>
      </w:tr>
      <w:tr w:rsidR="00495C2F" w:rsidRPr="00495C2F" w14:paraId="3077A874" w14:textId="77777777" w:rsidTr="00D5442C">
        <w:tc>
          <w:tcPr>
            <w:tcW w:w="2552" w:type="dxa"/>
            <w:shd w:val="clear" w:color="auto" w:fill="0070C0"/>
          </w:tcPr>
          <w:p w14:paraId="6B8E033A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ABRUZZO</w:t>
            </w:r>
          </w:p>
        </w:tc>
        <w:tc>
          <w:tcPr>
            <w:tcW w:w="6379" w:type="dxa"/>
            <w:shd w:val="clear" w:color="auto" w:fill="0070C0"/>
          </w:tcPr>
          <w:p w14:paraId="421EBE4F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95C2F" w:rsidRPr="00495C2F" w14:paraId="0536923F" w14:textId="77777777" w:rsidTr="00D5442C">
        <w:tc>
          <w:tcPr>
            <w:tcW w:w="2552" w:type="dxa"/>
          </w:tcPr>
          <w:p w14:paraId="7986361D" w14:textId="3607AF7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Teramo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(47 Comuni)</w:t>
            </w:r>
          </w:p>
        </w:tc>
        <w:tc>
          <w:tcPr>
            <w:tcW w:w="6379" w:type="dxa"/>
          </w:tcPr>
          <w:p w14:paraId="2CD6FDC8" w14:textId="186E65B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Alto Aterno - Gran Sasso Laga</w:t>
            </w:r>
            <w:r w:rsidR="00B1330A"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(15, condivisa con l’Aquila)</w:t>
            </w:r>
          </w:p>
          <w:p w14:paraId="4ED2B640" w14:textId="093697E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Valfino</w:t>
            </w:r>
            <w:proofErr w:type="spellEnd"/>
            <w:r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-Vestina</w:t>
            </w:r>
            <w:r w:rsidR="00B1330A"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</w:t>
            </w:r>
            <w:r w:rsid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19</w:t>
            </w:r>
            <w:r w:rsidR="00B1330A"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)</w:t>
            </w:r>
          </w:p>
          <w:p w14:paraId="04A691D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7B808220" w14:textId="77777777" w:rsidTr="00D5442C">
        <w:tc>
          <w:tcPr>
            <w:tcW w:w="2552" w:type="dxa"/>
          </w:tcPr>
          <w:p w14:paraId="19952EE4" w14:textId="0F4A51E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Chieti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(104 Comuni)</w:t>
            </w:r>
          </w:p>
        </w:tc>
        <w:tc>
          <w:tcPr>
            <w:tcW w:w="6379" w:type="dxa"/>
          </w:tcPr>
          <w:p w14:paraId="0B34968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Basso Sangro - Trigno</w:t>
            </w:r>
          </w:p>
        </w:tc>
      </w:tr>
      <w:tr w:rsidR="00495C2F" w:rsidRPr="00495C2F" w14:paraId="7BA50A51" w14:textId="77777777" w:rsidTr="00D5442C">
        <w:tc>
          <w:tcPr>
            <w:tcW w:w="2552" w:type="dxa"/>
          </w:tcPr>
          <w:p w14:paraId="0C0CFCD7" w14:textId="57FBF57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L’Aquila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(108 Comuni)</w:t>
            </w:r>
          </w:p>
        </w:tc>
        <w:tc>
          <w:tcPr>
            <w:tcW w:w="6379" w:type="dxa"/>
          </w:tcPr>
          <w:p w14:paraId="694C7748" w14:textId="2FA130E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Alto Aterno - Gran Sasso Laga</w:t>
            </w:r>
            <w:r w:rsidR="00064019"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(15)</w:t>
            </w:r>
          </w:p>
          <w:p w14:paraId="3588E152" w14:textId="5E831DF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Gran Sasso - Valle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Subequana</w:t>
            </w:r>
            <w:proofErr w:type="spellEnd"/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(28)</w:t>
            </w:r>
          </w:p>
          <w:p w14:paraId="5F38CA4C" w14:textId="20E17AF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Valle del Giovenco - Valle Roveto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(13)</w:t>
            </w:r>
          </w:p>
          <w:p w14:paraId="20B5B8B4" w14:textId="28E769A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Piana del Cavaliere - Alto Liri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(10)</w:t>
            </w:r>
          </w:p>
          <w:p w14:paraId="767B84DD" w14:textId="5C53234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Valle del Sagittario e dell'Alto Sangro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(13)</w:t>
            </w:r>
          </w:p>
        </w:tc>
      </w:tr>
      <w:tr w:rsidR="00495C2F" w:rsidRPr="00495C2F" w14:paraId="650C08D3" w14:textId="77777777" w:rsidTr="00D5442C">
        <w:tc>
          <w:tcPr>
            <w:tcW w:w="2552" w:type="dxa"/>
          </w:tcPr>
          <w:p w14:paraId="0589C555" w14:textId="528E2AC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Pescara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(46 Comuni)</w:t>
            </w:r>
          </w:p>
        </w:tc>
        <w:tc>
          <w:tcPr>
            <w:tcW w:w="6379" w:type="dxa"/>
          </w:tcPr>
          <w:p w14:paraId="116403C1" w14:textId="1C936A6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Valfino</w:t>
            </w:r>
            <w:proofErr w:type="spellEnd"/>
            <w:r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-Vestina</w:t>
            </w:r>
            <w:r w:rsidR="00B1330A"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</w:t>
            </w:r>
            <w:r w:rsid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19</w:t>
            </w:r>
            <w:r w:rsidR="00B1330A" w:rsidRP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)</w:t>
            </w:r>
          </w:p>
          <w:p w14:paraId="44F0CD98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7B926741" w14:textId="77777777" w:rsidTr="00D5442C">
        <w:tc>
          <w:tcPr>
            <w:tcW w:w="2552" w:type="dxa"/>
            <w:shd w:val="clear" w:color="auto" w:fill="0070C0"/>
          </w:tcPr>
          <w:p w14:paraId="19BB60D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MOLISE</w:t>
            </w:r>
          </w:p>
        </w:tc>
        <w:tc>
          <w:tcPr>
            <w:tcW w:w="6379" w:type="dxa"/>
            <w:shd w:val="clear" w:color="auto" w:fill="0070C0"/>
          </w:tcPr>
          <w:p w14:paraId="447FF2CC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0D82837C" w14:textId="77777777" w:rsidTr="00D5442C">
        <w:tc>
          <w:tcPr>
            <w:tcW w:w="2552" w:type="dxa"/>
          </w:tcPr>
          <w:p w14:paraId="3A901F13" w14:textId="3D4AFEB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Campobasso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(84 Comuni)</w:t>
            </w:r>
          </w:p>
        </w:tc>
        <w:tc>
          <w:tcPr>
            <w:tcW w:w="6379" w:type="dxa"/>
          </w:tcPr>
          <w:p w14:paraId="4604FC7C" w14:textId="4AF3FD2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Alto Medio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Sannio</w:t>
            </w:r>
            <w:r w:rsidR="00B1330A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(33)</w:t>
            </w:r>
          </w:p>
          <w:p w14:paraId="4857000E" w14:textId="0BBA60D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Fortore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(12)</w:t>
            </w:r>
          </w:p>
          <w:p w14:paraId="4CA9FF36" w14:textId="618CA24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Matese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(14)</w:t>
            </w:r>
          </w:p>
          <w:p w14:paraId="30B0AA90" w14:textId="1879302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Medio Basso Molise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(22)</w:t>
            </w:r>
          </w:p>
          <w:p w14:paraId="048C1807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648BEA0D" w14:textId="77777777" w:rsidTr="00D5442C">
        <w:tc>
          <w:tcPr>
            <w:tcW w:w="2552" w:type="dxa"/>
          </w:tcPr>
          <w:p w14:paraId="62FAF5B3" w14:textId="24CBC43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Isernia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(52)</w:t>
            </w:r>
          </w:p>
        </w:tc>
        <w:tc>
          <w:tcPr>
            <w:tcW w:w="6379" w:type="dxa"/>
          </w:tcPr>
          <w:p w14:paraId="50B0C312" w14:textId="0E1A6728" w:rsid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Alto Medio Sannio </w:t>
            </w:r>
            <w:r w:rsidR="00B1330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(33)</w:t>
            </w:r>
          </w:p>
          <w:p w14:paraId="28386AB9" w14:textId="38F0611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Mainarde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(13)</w:t>
            </w:r>
          </w:p>
          <w:p w14:paraId="1763053D" w14:textId="431821D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Matese</w:t>
            </w:r>
            <w:r w:rsidR="00B1330A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(14)</w:t>
            </w:r>
          </w:p>
          <w:p w14:paraId="4CCCBA52" w14:textId="48A8821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Isernia 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–</w:t>
            </w: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Venafro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(14)</w:t>
            </w:r>
          </w:p>
          <w:p w14:paraId="6514A85D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02BB75D5" w14:textId="77777777" w:rsidTr="00D5442C">
        <w:tc>
          <w:tcPr>
            <w:tcW w:w="2552" w:type="dxa"/>
            <w:shd w:val="clear" w:color="auto" w:fill="0070C0"/>
          </w:tcPr>
          <w:p w14:paraId="669ECEA2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CAMPANIA</w:t>
            </w:r>
          </w:p>
        </w:tc>
        <w:tc>
          <w:tcPr>
            <w:tcW w:w="6379" w:type="dxa"/>
            <w:shd w:val="clear" w:color="auto" w:fill="0070C0"/>
          </w:tcPr>
          <w:p w14:paraId="756A1BDA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18E61E16" w14:textId="77777777" w:rsidTr="00D5442C">
        <w:tc>
          <w:tcPr>
            <w:tcW w:w="2552" w:type="dxa"/>
          </w:tcPr>
          <w:p w14:paraId="6CA414C3" w14:textId="79395DE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Avellino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(118 Comuni)</w:t>
            </w:r>
          </w:p>
        </w:tc>
        <w:tc>
          <w:tcPr>
            <w:tcW w:w="6379" w:type="dxa"/>
          </w:tcPr>
          <w:p w14:paraId="6DBD795F" w14:textId="468890B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Alta Irpinia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(25)</w:t>
            </w:r>
          </w:p>
        </w:tc>
      </w:tr>
      <w:tr w:rsidR="00495C2F" w:rsidRPr="00495C2F" w14:paraId="1BEF2D8F" w14:textId="77777777" w:rsidTr="00D5442C">
        <w:tc>
          <w:tcPr>
            <w:tcW w:w="2552" w:type="dxa"/>
          </w:tcPr>
          <w:p w14:paraId="4F1CED1C" w14:textId="70FBF98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Salerno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(158 Comuni)</w:t>
            </w:r>
          </w:p>
        </w:tc>
        <w:tc>
          <w:tcPr>
            <w:tcW w:w="6379" w:type="dxa"/>
          </w:tcPr>
          <w:p w14:paraId="23C13114" w14:textId="6F6FE57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Cilento Interno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(29)</w:t>
            </w:r>
          </w:p>
          <w:p w14:paraId="458480F1" w14:textId="5CBAB74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Vallo di Diano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(15)</w:t>
            </w:r>
          </w:p>
          <w:p w14:paraId="07536BA1" w14:textId="4FB7978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Sele Tanagro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(16)</w:t>
            </w:r>
          </w:p>
          <w:p w14:paraId="2654BD4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6303C7AE" w14:textId="77777777" w:rsidTr="00D5442C">
        <w:tc>
          <w:tcPr>
            <w:tcW w:w="2552" w:type="dxa"/>
          </w:tcPr>
          <w:p w14:paraId="41B380B8" w14:textId="748D5FA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Benevento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(78 Comuni)</w:t>
            </w:r>
          </w:p>
        </w:tc>
        <w:tc>
          <w:tcPr>
            <w:tcW w:w="6379" w:type="dxa"/>
          </w:tcPr>
          <w:p w14:paraId="1E5DEE69" w14:textId="61A812C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Tammaro –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Titerno</w:t>
            </w:r>
            <w:proofErr w:type="spellEnd"/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(39)</w:t>
            </w:r>
          </w:p>
          <w:p w14:paraId="148FE446" w14:textId="596EB12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Fortore Beneventano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(12)</w:t>
            </w:r>
          </w:p>
          <w:p w14:paraId="6F3518C2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5B5C02C7" w14:textId="77777777" w:rsidTr="00D5442C">
        <w:tc>
          <w:tcPr>
            <w:tcW w:w="2552" w:type="dxa"/>
          </w:tcPr>
          <w:p w14:paraId="23104C22" w14:textId="4B795822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Caserta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(104 Comuni)</w:t>
            </w:r>
          </w:p>
        </w:tc>
        <w:tc>
          <w:tcPr>
            <w:tcW w:w="6379" w:type="dxa"/>
          </w:tcPr>
          <w:p w14:paraId="434579BC" w14:textId="3C85A5E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Alto Matese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(17)</w:t>
            </w:r>
          </w:p>
        </w:tc>
      </w:tr>
      <w:tr w:rsidR="00495C2F" w:rsidRPr="00495C2F" w14:paraId="6D6D700A" w14:textId="77777777" w:rsidTr="00D5442C">
        <w:tc>
          <w:tcPr>
            <w:tcW w:w="2552" w:type="dxa"/>
            <w:shd w:val="clear" w:color="auto" w:fill="0070C0"/>
          </w:tcPr>
          <w:p w14:paraId="73E37231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PUGLIA</w:t>
            </w:r>
          </w:p>
        </w:tc>
        <w:tc>
          <w:tcPr>
            <w:tcW w:w="6379" w:type="dxa"/>
            <w:shd w:val="clear" w:color="auto" w:fill="0070C0"/>
          </w:tcPr>
          <w:p w14:paraId="77A0C333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2CE42862" w14:textId="77777777" w:rsidTr="00D5442C">
        <w:tc>
          <w:tcPr>
            <w:tcW w:w="2552" w:type="dxa"/>
          </w:tcPr>
          <w:p w14:paraId="1A701ADC" w14:textId="2FCC5C5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Barletta-Andria-Trani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 Comuni)</w:t>
            </w:r>
          </w:p>
        </w:tc>
        <w:tc>
          <w:tcPr>
            <w:tcW w:w="6379" w:type="dxa"/>
          </w:tcPr>
          <w:p w14:paraId="59C31AB3" w14:textId="516CDEC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Alta Murgia</w:t>
            </w:r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(14)</w:t>
            </w:r>
          </w:p>
        </w:tc>
      </w:tr>
      <w:tr w:rsidR="00495C2F" w:rsidRPr="00495C2F" w14:paraId="36D6C1A6" w14:textId="77777777" w:rsidTr="00D5442C">
        <w:tc>
          <w:tcPr>
            <w:tcW w:w="2552" w:type="dxa"/>
          </w:tcPr>
          <w:p w14:paraId="47EE0BE5" w14:textId="27EFCE3E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Foggia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(61 Comuni)</w:t>
            </w:r>
          </w:p>
        </w:tc>
        <w:tc>
          <w:tcPr>
            <w:tcW w:w="6379" w:type="dxa"/>
          </w:tcPr>
          <w:p w14:paraId="124B374C" w14:textId="732ED1E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Gargano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(5)</w:t>
            </w:r>
          </w:p>
          <w:p w14:paraId="6A950FAF" w14:textId="34DF007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Monti Dauni</w:t>
            </w:r>
            <w:r w:rsidR="000640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(29)</w:t>
            </w:r>
          </w:p>
          <w:p w14:paraId="7387ABCD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4517E842" w14:textId="77777777" w:rsidTr="00D5442C">
        <w:tc>
          <w:tcPr>
            <w:tcW w:w="2552" w:type="dxa"/>
          </w:tcPr>
          <w:p w14:paraId="67CFBF9D" w14:textId="640A97C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Lecce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(96 Comuni)</w:t>
            </w:r>
          </w:p>
        </w:tc>
        <w:tc>
          <w:tcPr>
            <w:tcW w:w="6379" w:type="dxa"/>
          </w:tcPr>
          <w:p w14:paraId="27F6E0B9" w14:textId="0E374EF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Sud Salento</w:t>
            </w:r>
            <w:r w:rsidR="001F74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(18)</w:t>
            </w:r>
          </w:p>
        </w:tc>
      </w:tr>
      <w:tr w:rsidR="00495C2F" w:rsidRPr="00495C2F" w14:paraId="6D7D3DA2" w14:textId="77777777" w:rsidTr="00D5442C">
        <w:tc>
          <w:tcPr>
            <w:tcW w:w="2552" w:type="dxa"/>
          </w:tcPr>
          <w:p w14:paraId="4135F7A8" w14:textId="5F31DB5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Taranto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(29 Comuni)</w:t>
            </w:r>
          </w:p>
        </w:tc>
        <w:tc>
          <w:tcPr>
            <w:tcW w:w="6379" w:type="dxa"/>
          </w:tcPr>
          <w:p w14:paraId="4E6AAD0A" w14:textId="5CFAEF5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Alto Salento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(1)</w:t>
            </w:r>
          </w:p>
        </w:tc>
      </w:tr>
      <w:tr w:rsidR="00495C2F" w:rsidRPr="00495C2F" w14:paraId="7A364E1E" w14:textId="77777777" w:rsidTr="00D5442C">
        <w:tc>
          <w:tcPr>
            <w:tcW w:w="2552" w:type="dxa"/>
            <w:shd w:val="clear" w:color="auto" w:fill="0070C0"/>
          </w:tcPr>
          <w:p w14:paraId="78B26A5B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BASILICATA</w:t>
            </w:r>
          </w:p>
        </w:tc>
        <w:tc>
          <w:tcPr>
            <w:tcW w:w="6379" w:type="dxa"/>
            <w:shd w:val="clear" w:color="auto" w:fill="0070C0"/>
          </w:tcPr>
          <w:p w14:paraId="6FA724A9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0A883D2A" w14:textId="77777777" w:rsidTr="00D5442C">
        <w:tc>
          <w:tcPr>
            <w:tcW w:w="2552" w:type="dxa"/>
          </w:tcPr>
          <w:p w14:paraId="105FD64E" w14:textId="3009495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Potenza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(100 Comuni)</w:t>
            </w:r>
          </w:p>
        </w:tc>
        <w:tc>
          <w:tcPr>
            <w:tcW w:w="6379" w:type="dxa"/>
          </w:tcPr>
          <w:p w14:paraId="47AD161F" w14:textId="00E9353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Alto Bradano</w:t>
            </w:r>
            <w:r w:rsidR="001F74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(9)</w:t>
            </w:r>
          </w:p>
          <w:p w14:paraId="56368E68" w14:textId="518479CA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Marmo Platano</w:t>
            </w:r>
            <w:r w:rsidR="001F74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(7)</w:t>
            </w:r>
          </w:p>
          <w:p w14:paraId="0602223F" w14:textId="52A38CB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Mercure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- Alto Sinni - Val Sarmento</w:t>
            </w:r>
            <w:r w:rsidR="001F74F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(19)</w:t>
            </w:r>
          </w:p>
          <w:p w14:paraId="1AE88509" w14:textId="06305BF3" w:rsid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Medio Agri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(6)</w:t>
            </w:r>
          </w:p>
          <w:p w14:paraId="3D5B586B" w14:textId="06D8430D" w:rsidR="00505EF7" w:rsidRPr="00495C2F" w:rsidRDefault="00505EF7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Vulture (11)</w:t>
            </w:r>
          </w:p>
          <w:p w14:paraId="65445BF2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79F45C30" w14:textId="77777777" w:rsidTr="00D5442C">
        <w:tc>
          <w:tcPr>
            <w:tcW w:w="2552" w:type="dxa"/>
          </w:tcPr>
          <w:p w14:paraId="279F3D77" w14:textId="5CA22E91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Matera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(31 Comuni)</w:t>
            </w:r>
          </w:p>
        </w:tc>
        <w:tc>
          <w:tcPr>
            <w:tcW w:w="6379" w:type="dxa"/>
          </w:tcPr>
          <w:p w14:paraId="2305C377" w14:textId="539302B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Montagna Materana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(8)</w:t>
            </w:r>
          </w:p>
          <w:p w14:paraId="2F287FC7" w14:textId="0661467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Medio Basento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(7)</w:t>
            </w:r>
          </w:p>
          <w:p w14:paraId="3FBABD13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39035787" w14:textId="77777777" w:rsidTr="00D5442C">
        <w:tc>
          <w:tcPr>
            <w:tcW w:w="2552" w:type="dxa"/>
            <w:shd w:val="clear" w:color="auto" w:fill="0070C0"/>
          </w:tcPr>
          <w:p w14:paraId="2E8198EC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CALABRIA</w:t>
            </w:r>
          </w:p>
        </w:tc>
        <w:tc>
          <w:tcPr>
            <w:tcW w:w="6379" w:type="dxa"/>
            <w:shd w:val="clear" w:color="auto" w:fill="0070C0"/>
          </w:tcPr>
          <w:p w14:paraId="3CD45666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136CDEBB" w14:textId="77777777" w:rsidTr="00D5442C">
        <w:tc>
          <w:tcPr>
            <w:tcW w:w="2552" w:type="dxa"/>
          </w:tcPr>
          <w:p w14:paraId="5041B307" w14:textId="2D044AA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Vibo Valentia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(50 Comuni)</w:t>
            </w:r>
          </w:p>
        </w:tc>
        <w:tc>
          <w:tcPr>
            <w:tcW w:w="6379" w:type="dxa"/>
          </w:tcPr>
          <w:p w14:paraId="037DFD59" w14:textId="45E42BD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Versante Ionico </w:t>
            </w:r>
            <w:r w:rsidR="00E4672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–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Serre</w:t>
            </w:r>
            <w:r w:rsidR="00E4672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(14)</w:t>
            </w:r>
          </w:p>
        </w:tc>
      </w:tr>
      <w:tr w:rsidR="00495C2F" w:rsidRPr="00495C2F" w14:paraId="282CB7B8" w14:textId="77777777" w:rsidTr="00D5442C">
        <w:tc>
          <w:tcPr>
            <w:tcW w:w="2552" w:type="dxa"/>
          </w:tcPr>
          <w:p w14:paraId="52A96388" w14:textId="4EEFE67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Catanzaro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(80 Comuni)</w:t>
            </w:r>
          </w:p>
        </w:tc>
        <w:tc>
          <w:tcPr>
            <w:tcW w:w="6379" w:type="dxa"/>
          </w:tcPr>
          <w:p w14:paraId="475C29B4" w14:textId="37DABB39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Versante Ionico – Serre</w:t>
            </w:r>
            <w:r w:rsidR="00E4672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(14)</w:t>
            </w:r>
          </w:p>
          <w:p w14:paraId="35B8BB4D" w14:textId="43E5FD2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Reventino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– Savuto</w:t>
            </w:r>
            <w:r w:rsidR="00E4672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(36)</w:t>
            </w:r>
          </w:p>
          <w:p w14:paraId="0AF65BC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95C2F" w:rsidRPr="00495C2F" w14:paraId="0EB2F0DA" w14:textId="77777777" w:rsidTr="00D5442C">
        <w:tc>
          <w:tcPr>
            <w:tcW w:w="2552" w:type="dxa"/>
          </w:tcPr>
          <w:p w14:paraId="5690C511" w14:textId="741A4834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Cosenza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(150 Comuni)</w:t>
            </w:r>
          </w:p>
        </w:tc>
        <w:tc>
          <w:tcPr>
            <w:tcW w:w="6379" w:type="dxa"/>
          </w:tcPr>
          <w:p w14:paraId="0AE4F200" w14:textId="1C6A808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Reventino</w:t>
            </w:r>
            <w:proofErr w:type="spellEnd"/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– Savuto</w:t>
            </w:r>
            <w:r w:rsidR="00E4672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(36)</w:t>
            </w:r>
          </w:p>
          <w:p w14:paraId="0C248ECB" w14:textId="70B503D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Sila e Presila</w:t>
            </w:r>
            <w:r w:rsidR="00E4672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(19)</w:t>
            </w:r>
          </w:p>
          <w:p w14:paraId="7186BC56" w14:textId="73E4780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Alto Jonio Cosentino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(18)</w:t>
            </w:r>
          </w:p>
          <w:p w14:paraId="58F43117" w14:textId="4A35059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Alto Tirreno Pollino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(15)</w:t>
            </w:r>
          </w:p>
          <w:p w14:paraId="2B0C3751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95C2F" w:rsidRPr="00495C2F" w14:paraId="7B2A30DA" w14:textId="77777777" w:rsidTr="00D5442C">
        <w:tc>
          <w:tcPr>
            <w:tcW w:w="2552" w:type="dxa"/>
          </w:tcPr>
          <w:p w14:paraId="01CE872F" w14:textId="2E65703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Crotone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(27 Comuni)</w:t>
            </w:r>
          </w:p>
        </w:tc>
        <w:tc>
          <w:tcPr>
            <w:tcW w:w="6379" w:type="dxa"/>
          </w:tcPr>
          <w:p w14:paraId="6B24BB16" w14:textId="19389971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Sila </w:t>
            </w:r>
            <w:r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e Presila</w:t>
            </w:r>
            <w:r w:rsidR="00E46720" w:rsidRPr="00BF08C1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(19)</w:t>
            </w:r>
          </w:p>
        </w:tc>
      </w:tr>
      <w:tr w:rsidR="00495C2F" w:rsidRPr="00495C2F" w14:paraId="55C613E6" w14:textId="77777777" w:rsidTr="00D5442C">
        <w:tc>
          <w:tcPr>
            <w:tcW w:w="2552" w:type="dxa"/>
            <w:shd w:val="clear" w:color="auto" w:fill="0070C0"/>
          </w:tcPr>
          <w:p w14:paraId="1CA127B0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SICILIA</w:t>
            </w:r>
          </w:p>
        </w:tc>
        <w:tc>
          <w:tcPr>
            <w:tcW w:w="6379" w:type="dxa"/>
            <w:shd w:val="clear" w:color="auto" w:fill="0070C0"/>
          </w:tcPr>
          <w:p w14:paraId="6D7C5497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78A5C23D" w14:textId="77777777" w:rsidTr="00D5442C">
        <w:tc>
          <w:tcPr>
            <w:tcW w:w="2552" w:type="dxa"/>
          </w:tcPr>
          <w:p w14:paraId="2AF63FE3" w14:textId="0E9AD2B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Agrigento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(43 Comuni)</w:t>
            </w:r>
          </w:p>
        </w:tc>
        <w:tc>
          <w:tcPr>
            <w:tcW w:w="6379" w:type="dxa"/>
          </w:tcPr>
          <w:p w14:paraId="43FDBF6E" w14:textId="75541EE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Terre Sicane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(12)</w:t>
            </w:r>
          </w:p>
        </w:tc>
      </w:tr>
      <w:tr w:rsidR="00495C2F" w:rsidRPr="00495C2F" w14:paraId="0D298501" w14:textId="77777777" w:rsidTr="00D5442C">
        <w:tc>
          <w:tcPr>
            <w:tcW w:w="2552" w:type="dxa"/>
          </w:tcPr>
          <w:p w14:paraId="0A1991DA" w14:textId="08C7B17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Enna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(20 Comuni)</w:t>
            </w:r>
          </w:p>
        </w:tc>
        <w:tc>
          <w:tcPr>
            <w:tcW w:w="6379" w:type="dxa"/>
          </w:tcPr>
          <w:p w14:paraId="11FD1D0F" w14:textId="60F9F75D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Valle del Simeto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(3)</w:t>
            </w:r>
          </w:p>
          <w:p w14:paraId="36507927" w14:textId="2CBAF50B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Troina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(14)</w:t>
            </w:r>
          </w:p>
          <w:p w14:paraId="4844A98E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5280ECAD" w14:textId="77777777" w:rsidTr="00D5442C">
        <w:tc>
          <w:tcPr>
            <w:tcW w:w="2552" w:type="dxa"/>
          </w:tcPr>
          <w:p w14:paraId="0CE037BB" w14:textId="5416D135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Caltanissetta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(22 Comuni)</w:t>
            </w:r>
          </w:p>
        </w:tc>
        <w:tc>
          <w:tcPr>
            <w:tcW w:w="6379" w:type="dxa"/>
          </w:tcPr>
          <w:p w14:paraId="10C6B589" w14:textId="3FB99E6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4672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>Madonie</w:t>
            </w:r>
            <w:r w:rsidR="00E46720" w:rsidRPr="00E46720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  <w:t xml:space="preserve"> (21 condivisi con Palermo)</w:t>
            </w:r>
          </w:p>
          <w:p w14:paraId="322F0FE1" w14:textId="4EFFDC18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Mussomeli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(11)</w:t>
            </w:r>
          </w:p>
        </w:tc>
      </w:tr>
      <w:tr w:rsidR="00495C2F" w:rsidRPr="00495C2F" w14:paraId="5E9438D1" w14:textId="77777777" w:rsidTr="00D5442C">
        <w:tc>
          <w:tcPr>
            <w:tcW w:w="2552" w:type="dxa"/>
            <w:shd w:val="clear" w:color="auto" w:fill="0070C0"/>
          </w:tcPr>
          <w:p w14:paraId="37047CB1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  <w:t>SARDEGNA</w:t>
            </w:r>
          </w:p>
          <w:p w14:paraId="423075F5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shd w:val="clear" w:color="auto" w:fill="0070C0"/>
          </w:tcPr>
          <w:p w14:paraId="582A01CF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color w:val="FFFFFF"/>
                <w:sz w:val="20"/>
                <w:szCs w:val="20"/>
                <w:lang w:eastAsia="en-US"/>
              </w:rPr>
            </w:pPr>
          </w:p>
        </w:tc>
      </w:tr>
      <w:tr w:rsidR="00495C2F" w:rsidRPr="00495C2F" w14:paraId="5E8B4627" w14:textId="77777777" w:rsidTr="00D5442C">
        <w:tc>
          <w:tcPr>
            <w:tcW w:w="2552" w:type="dxa"/>
          </w:tcPr>
          <w:p w14:paraId="775482DD" w14:textId="275166CC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Nuoro 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(74 Comuni)</w:t>
            </w:r>
          </w:p>
        </w:tc>
        <w:tc>
          <w:tcPr>
            <w:tcW w:w="6379" w:type="dxa"/>
          </w:tcPr>
          <w:p w14:paraId="002D496E" w14:textId="3FDE2E1F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Gennargentu – </w:t>
            </w:r>
            <w:proofErr w:type="spellStart"/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Mandrolisai</w:t>
            </w:r>
            <w:proofErr w:type="spellEnd"/>
            <w:r w:rsidR="00B133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(11)</w:t>
            </w:r>
          </w:p>
          <w:p w14:paraId="6466BF39" w14:textId="696C8BD3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Barbagia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(10)</w:t>
            </w:r>
          </w:p>
          <w:p w14:paraId="54C2EBBD" w14:textId="49D385F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Valle del Cedrino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(5)</w:t>
            </w:r>
          </w:p>
          <w:p w14:paraId="54DA8774" w14:textId="77777777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95C2F" w:rsidRPr="00495C2F" w14:paraId="1EF34446" w14:textId="77777777" w:rsidTr="00D5442C">
        <w:tc>
          <w:tcPr>
            <w:tcW w:w="2552" w:type="dxa"/>
          </w:tcPr>
          <w:p w14:paraId="200F3E48" w14:textId="4A8B1E60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Oristano</w:t>
            </w:r>
            <w:r w:rsidR="00505EF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(87 Comuni)</w:t>
            </w:r>
          </w:p>
        </w:tc>
        <w:tc>
          <w:tcPr>
            <w:tcW w:w="6379" w:type="dxa"/>
          </w:tcPr>
          <w:p w14:paraId="03D50A28" w14:textId="648AE256" w:rsidR="00495C2F" w:rsidRPr="00495C2F" w:rsidRDefault="00495C2F" w:rsidP="00495C2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95C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Alta Marmilla</w:t>
            </w:r>
            <w:r w:rsidR="00E4672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(19)</w:t>
            </w:r>
          </w:p>
        </w:tc>
      </w:tr>
      <w:bookmarkEnd w:id="0"/>
    </w:tbl>
    <w:p w14:paraId="534F456A" w14:textId="77777777" w:rsidR="005F47EC" w:rsidRPr="00B718A3" w:rsidRDefault="005F47EC" w:rsidP="00532A07">
      <w:pPr>
        <w:suppressAutoHyphens w:val="0"/>
        <w:spacing w:after="160"/>
        <w:rPr>
          <w:rFonts w:asciiTheme="minorHAnsi" w:hAnsiTheme="minorHAnsi" w:cstheme="minorHAnsi"/>
          <w:shd w:val="clear" w:color="auto" w:fill="FFFFFF"/>
        </w:rPr>
      </w:pPr>
    </w:p>
    <w:p w14:paraId="77B4A361" w14:textId="5C2E373D" w:rsidR="00607245" w:rsidRDefault="00B718A3" w:rsidP="00B456A8">
      <w:pPr>
        <w:suppressAutoHyphens w:val="0"/>
        <w:jc w:val="both"/>
        <w:rPr>
          <w:rFonts w:asciiTheme="minorHAnsi" w:hAnsiTheme="minorHAnsi" w:cstheme="minorHAnsi"/>
          <w:shd w:val="clear" w:color="auto" w:fill="FFFFFF"/>
        </w:rPr>
      </w:pPr>
      <w:r w:rsidRPr="00B718A3">
        <w:rPr>
          <w:rFonts w:asciiTheme="minorHAnsi" w:hAnsiTheme="minorHAnsi" w:cstheme="minorHAnsi"/>
          <w:shd w:val="clear" w:color="auto" w:fill="FFFFFF"/>
        </w:rPr>
        <w:t xml:space="preserve">Il tema delle </w:t>
      </w:r>
      <w:r w:rsidR="00B456A8" w:rsidRPr="00510A08">
        <w:rPr>
          <w:rFonts w:asciiTheme="minorHAnsi" w:hAnsiTheme="minorHAnsi" w:cstheme="minorHAnsi"/>
          <w:b/>
          <w:bCs/>
          <w:shd w:val="clear" w:color="auto" w:fill="FFFFFF"/>
        </w:rPr>
        <w:t>a</w:t>
      </w:r>
      <w:r w:rsidRPr="00510A08">
        <w:rPr>
          <w:rFonts w:asciiTheme="minorHAnsi" w:hAnsiTheme="minorHAnsi" w:cstheme="minorHAnsi"/>
          <w:b/>
          <w:bCs/>
          <w:shd w:val="clear" w:color="auto" w:fill="FFFFFF"/>
        </w:rPr>
        <w:t>ree</w:t>
      </w:r>
      <w:r w:rsidR="00B456A8" w:rsidRPr="00510A08">
        <w:rPr>
          <w:rFonts w:asciiTheme="minorHAnsi" w:hAnsiTheme="minorHAnsi" w:cstheme="minorHAnsi"/>
          <w:b/>
          <w:bCs/>
          <w:shd w:val="clear" w:color="auto" w:fill="FFFFFF"/>
        </w:rPr>
        <w:t xml:space="preserve"> marginali</w:t>
      </w:r>
      <w:r w:rsidRPr="00B718A3">
        <w:rPr>
          <w:rFonts w:asciiTheme="minorHAnsi" w:hAnsiTheme="minorHAnsi" w:cstheme="minorHAnsi"/>
          <w:shd w:val="clear" w:color="auto" w:fill="FFFFFF"/>
        </w:rPr>
        <w:t xml:space="preserve"> non si esaurisce</w:t>
      </w:r>
      <w:r w:rsidR="00B456A8">
        <w:rPr>
          <w:rFonts w:asciiTheme="minorHAnsi" w:hAnsiTheme="minorHAnsi" w:cstheme="minorHAnsi"/>
          <w:shd w:val="clear" w:color="auto" w:fill="FFFFFF"/>
        </w:rPr>
        <w:t xml:space="preserve">, tuttavia, con </w:t>
      </w:r>
      <w:r w:rsidR="005A2F10">
        <w:rPr>
          <w:rFonts w:asciiTheme="minorHAnsi" w:hAnsiTheme="minorHAnsi" w:cstheme="minorHAnsi"/>
          <w:shd w:val="clear" w:color="auto" w:fill="FFFFFF"/>
        </w:rPr>
        <w:t>le Aree Interne individuate dal</w:t>
      </w:r>
      <w:r w:rsidR="00B456A8">
        <w:rPr>
          <w:rFonts w:asciiTheme="minorHAnsi" w:hAnsiTheme="minorHAnsi" w:cstheme="minorHAnsi"/>
          <w:shd w:val="clear" w:color="auto" w:fill="FFFFFF"/>
        </w:rPr>
        <w:t>la SNAI. Il</w:t>
      </w:r>
      <w:r w:rsidR="00607245" w:rsidRPr="00607245">
        <w:rPr>
          <w:rFonts w:asciiTheme="minorHAnsi" w:hAnsiTheme="minorHAnsi" w:cstheme="minorHAnsi"/>
          <w:shd w:val="clear" w:color="auto" w:fill="FFFFFF"/>
        </w:rPr>
        <w:t xml:space="preserve"> riferimento è a </w:t>
      </w:r>
      <w:r w:rsidR="00607245" w:rsidRPr="00510A08">
        <w:rPr>
          <w:rFonts w:asciiTheme="minorHAnsi" w:hAnsiTheme="minorHAnsi" w:cstheme="minorHAnsi"/>
          <w:b/>
          <w:bCs/>
          <w:shd w:val="clear" w:color="auto" w:fill="FFFFFF"/>
        </w:rPr>
        <w:t>situazioni</w:t>
      </w:r>
      <w:r w:rsidR="000C6936" w:rsidRPr="00510A08">
        <w:rPr>
          <w:rFonts w:asciiTheme="minorHAnsi" w:hAnsiTheme="minorHAnsi" w:cstheme="minorHAnsi"/>
          <w:b/>
          <w:bCs/>
          <w:shd w:val="clear" w:color="auto" w:fill="FFFFFF"/>
        </w:rPr>
        <w:t xml:space="preserve"> periferiche</w:t>
      </w:r>
      <w:r w:rsidR="000C6936">
        <w:rPr>
          <w:rFonts w:asciiTheme="minorHAnsi" w:hAnsiTheme="minorHAnsi" w:cstheme="minorHAnsi"/>
          <w:shd w:val="clear" w:color="auto" w:fill="FFFFFF"/>
        </w:rPr>
        <w:t xml:space="preserve"> </w:t>
      </w:r>
      <w:r w:rsidR="00B456A8" w:rsidRPr="00B456A8">
        <w:rPr>
          <w:rFonts w:asciiTheme="minorHAnsi" w:hAnsiTheme="minorHAnsi" w:cstheme="minorHAnsi"/>
          <w:shd w:val="clear" w:color="auto" w:fill="FFFFFF"/>
        </w:rPr>
        <w:t>che</w:t>
      </w:r>
      <w:r w:rsidR="00B456A8">
        <w:rPr>
          <w:rFonts w:asciiTheme="minorHAnsi" w:hAnsiTheme="minorHAnsi" w:cstheme="minorHAnsi"/>
          <w:shd w:val="clear" w:color="auto" w:fill="FFFFFF"/>
        </w:rPr>
        <w:t xml:space="preserve"> </w:t>
      </w:r>
      <w:r w:rsidR="00607245" w:rsidRPr="00607245">
        <w:rPr>
          <w:rFonts w:asciiTheme="minorHAnsi" w:hAnsiTheme="minorHAnsi" w:cstheme="minorHAnsi"/>
          <w:shd w:val="clear" w:color="auto" w:fill="FFFFFF"/>
        </w:rPr>
        <w:t>non rientran</w:t>
      </w:r>
      <w:r w:rsidR="00B456A8">
        <w:rPr>
          <w:rFonts w:asciiTheme="minorHAnsi" w:hAnsiTheme="minorHAnsi" w:cstheme="minorHAnsi"/>
          <w:shd w:val="clear" w:color="auto" w:fill="FFFFFF"/>
        </w:rPr>
        <w:t>o</w:t>
      </w:r>
      <w:r w:rsidR="00607245" w:rsidRPr="00607245">
        <w:rPr>
          <w:rFonts w:asciiTheme="minorHAnsi" w:hAnsiTheme="minorHAnsi" w:cstheme="minorHAnsi"/>
          <w:shd w:val="clear" w:color="auto" w:fill="FFFFFF"/>
        </w:rPr>
        <w:t xml:space="preserve"> nella classificazione ufficiale</w:t>
      </w:r>
      <w:r w:rsidR="00B456A8">
        <w:rPr>
          <w:rFonts w:asciiTheme="minorHAnsi" w:hAnsiTheme="minorHAnsi" w:cstheme="minorHAnsi"/>
          <w:shd w:val="clear" w:color="auto" w:fill="FFFFFF"/>
        </w:rPr>
        <w:t xml:space="preserve">, ma su </w:t>
      </w:r>
      <w:r w:rsidR="000C6936">
        <w:rPr>
          <w:rFonts w:asciiTheme="minorHAnsi" w:hAnsiTheme="minorHAnsi" w:cstheme="minorHAnsi"/>
          <w:shd w:val="clear" w:color="auto" w:fill="FFFFFF"/>
        </w:rPr>
        <w:t xml:space="preserve">cui </w:t>
      </w:r>
      <w:r w:rsidR="00B456A8">
        <w:rPr>
          <w:rFonts w:asciiTheme="minorHAnsi" w:hAnsiTheme="minorHAnsi" w:cstheme="minorHAnsi"/>
          <w:shd w:val="clear" w:color="auto" w:fill="FFFFFF"/>
        </w:rPr>
        <w:t xml:space="preserve">avvertiamo </w:t>
      </w:r>
      <w:r w:rsidR="00607245" w:rsidRPr="00607245">
        <w:rPr>
          <w:rFonts w:asciiTheme="minorHAnsi" w:hAnsiTheme="minorHAnsi" w:cstheme="minorHAnsi"/>
          <w:shd w:val="clear" w:color="auto" w:fill="FFFFFF"/>
        </w:rPr>
        <w:t xml:space="preserve">la necessità di focalizzare l’attenzione </w:t>
      </w:r>
      <w:r w:rsidR="000C6936">
        <w:rPr>
          <w:rFonts w:asciiTheme="minorHAnsi" w:hAnsiTheme="minorHAnsi" w:cstheme="minorHAnsi"/>
          <w:shd w:val="clear" w:color="auto" w:fill="FFFFFF"/>
        </w:rPr>
        <w:t>in quanto</w:t>
      </w:r>
      <w:r w:rsidR="00607245" w:rsidRPr="00607245">
        <w:rPr>
          <w:rFonts w:asciiTheme="minorHAnsi" w:hAnsiTheme="minorHAnsi" w:cstheme="minorHAnsi"/>
          <w:shd w:val="clear" w:color="auto" w:fill="FFFFFF"/>
        </w:rPr>
        <w:t xml:space="preserve"> presentano le condizioni per diventare pivot di un indispensabile processo di bilanciamento territoriale, di scala nazionale e regionale.</w:t>
      </w:r>
    </w:p>
    <w:p w14:paraId="5BA8BC09" w14:textId="77777777" w:rsidR="000C6936" w:rsidRPr="00607245" w:rsidRDefault="000C6936" w:rsidP="00B456A8">
      <w:pPr>
        <w:suppressAutoHyphens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706071C7" w14:textId="6F342152" w:rsidR="00B718A3" w:rsidRPr="00B456A8" w:rsidRDefault="000C6936" w:rsidP="00607245">
      <w:pPr>
        <w:suppressAutoHyphens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Proponiamo, pertanto, anche </w:t>
      </w:r>
      <w:r w:rsidR="00607245" w:rsidRPr="00B456A8">
        <w:rPr>
          <w:rFonts w:asciiTheme="minorHAnsi" w:hAnsiTheme="minorHAnsi" w:cstheme="minorHAnsi"/>
          <w:shd w:val="clear" w:color="auto" w:fill="FFFFFF"/>
        </w:rPr>
        <w:t xml:space="preserve">uno sguardo ‘fuori baricentro’ su diversi </w:t>
      </w:r>
      <w:r>
        <w:rPr>
          <w:rFonts w:asciiTheme="minorHAnsi" w:hAnsiTheme="minorHAnsi" w:cstheme="minorHAnsi"/>
          <w:shd w:val="clear" w:color="auto" w:fill="FFFFFF"/>
        </w:rPr>
        <w:t>ambiti</w:t>
      </w:r>
      <w:r w:rsidR="00607245" w:rsidRPr="00B456A8">
        <w:rPr>
          <w:rFonts w:asciiTheme="minorHAnsi" w:hAnsiTheme="minorHAnsi" w:cstheme="minorHAnsi"/>
          <w:shd w:val="clear" w:color="auto" w:fill="FFFFFF"/>
        </w:rPr>
        <w:t xml:space="preserve"> geografici e questioni</w:t>
      </w:r>
      <w:r>
        <w:rPr>
          <w:rFonts w:asciiTheme="minorHAnsi" w:hAnsiTheme="minorHAnsi" w:cstheme="minorHAnsi"/>
          <w:shd w:val="clear" w:color="auto" w:fill="FFFFFF"/>
        </w:rPr>
        <w:t>, che offrono spunti operativi per</w:t>
      </w:r>
      <w:r w:rsidRPr="000C6936">
        <w:rPr>
          <w:rFonts w:asciiTheme="minorHAnsi" w:hAnsiTheme="minorHAnsi" w:cstheme="minorHAnsi"/>
          <w:shd w:val="clear" w:color="auto" w:fill="FFFFFF"/>
        </w:rPr>
        <w:t xml:space="preserve"> delineare e attuare strumenti e azioni di rigenerazione territoriale</w:t>
      </w:r>
      <w:r w:rsidR="005A2F10">
        <w:rPr>
          <w:rFonts w:asciiTheme="minorHAnsi" w:hAnsiTheme="minorHAnsi" w:cstheme="minorHAnsi"/>
          <w:shd w:val="clear" w:color="auto" w:fill="FFFFFF"/>
        </w:rPr>
        <w:t xml:space="preserve"> in quei circa 4000 Comuni</w:t>
      </w:r>
      <w:r w:rsidR="00CB3CCE">
        <w:rPr>
          <w:rFonts w:asciiTheme="minorHAnsi" w:hAnsiTheme="minorHAnsi" w:cstheme="minorHAnsi"/>
          <w:shd w:val="clear" w:color="auto" w:fill="FFFFFF"/>
        </w:rPr>
        <w:t xml:space="preserve"> </w:t>
      </w:r>
      <w:r w:rsidR="005A2F10">
        <w:rPr>
          <w:rFonts w:asciiTheme="minorHAnsi" w:hAnsiTheme="minorHAnsi" w:cstheme="minorHAnsi"/>
          <w:shd w:val="clear" w:color="auto" w:fill="FFFFFF"/>
        </w:rPr>
        <w:t>in cui risiedono oltre 13 Milioni di abitanti (</w:t>
      </w:r>
      <w:r w:rsidR="00CB3CCE">
        <w:rPr>
          <w:rFonts w:asciiTheme="minorHAnsi" w:hAnsiTheme="minorHAnsi" w:cstheme="minorHAnsi"/>
          <w:shd w:val="clear" w:color="auto" w:fill="FFFFFF"/>
        </w:rPr>
        <w:t>Fonte ISTAT</w:t>
      </w:r>
      <w:r w:rsidR="005A2F10">
        <w:rPr>
          <w:rFonts w:asciiTheme="minorHAnsi" w:hAnsiTheme="minorHAnsi" w:cstheme="minorHAnsi"/>
          <w:shd w:val="clear" w:color="auto" w:fill="FFFFFF"/>
        </w:rPr>
        <w:t>).</w:t>
      </w:r>
    </w:p>
    <w:p w14:paraId="3D9CAA7D" w14:textId="77777777" w:rsidR="00B718A3" w:rsidRDefault="00B718A3" w:rsidP="00416B71">
      <w:pPr>
        <w:suppressAutoHyphens w:val="0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05D1FCAF" w14:textId="3DEF2BA5" w:rsidR="00CB3CCE" w:rsidRDefault="00CB3CCE">
      <w:pPr>
        <w:suppressAutoHyphens w:val="0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br w:type="page"/>
      </w:r>
    </w:p>
    <w:p w14:paraId="0A5CFEBE" w14:textId="384304CA" w:rsidR="000915BA" w:rsidRPr="00DC74BE" w:rsidRDefault="00CB3CCE" w:rsidP="00416B71">
      <w:pPr>
        <w:suppressAutoHyphens w:val="0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lastRenderedPageBreak/>
        <w:t xml:space="preserve">IL </w:t>
      </w:r>
      <w:r w:rsidR="000915BA" w:rsidRPr="00DC74B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RUOLO DELLE PROVINCE PER LE AREE INTERNE</w:t>
      </w:r>
    </w:p>
    <w:p w14:paraId="4300FCE8" w14:textId="77777777" w:rsidR="000915BA" w:rsidRDefault="000915BA" w:rsidP="00416B71">
      <w:pPr>
        <w:suppressAutoHyphens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7F409CD" w14:textId="5F5F222F" w:rsidR="000915BA" w:rsidRPr="000915BA" w:rsidRDefault="000915BA" w:rsidP="00416B71">
      <w:pPr>
        <w:suppressAutoHyphens w:val="0"/>
        <w:jc w:val="both"/>
        <w:rPr>
          <w:rFonts w:asciiTheme="minorHAnsi" w:hAnsiTheme="minorHAnsi" w:cstheme="minorHAnsi"/>
          <w:shd w:val="clear" w:color="auto" w:fill="FFFFFF"/>
        </w:rPr>
      </w:pPr>
      <w:r w:rsidRPr="000915BA">
        <w:rPr>
          <w:rFonts w:asciiTheme="minorHAnsi" w:hAnsiTheme="minorHAnsi" w:cstheme="minorHAnsi"/>
          <w:shd w:val="clear" w:color="auto" w:fill="FFFFFF"/>
        </w:rPr>
        <w:t>In occasione dell</w:t>
      </w:r>
      <w:r w:rsidR="00CB3CCE">
        <w:rPr>
          <w:rFonts w:asciiTheme="minorHAnsi" w:hAnsiTheme="minorHAnsi" w:cstheme="minorHAnsi"/>
          <w:shd w:val="clear" w:color="auto" w:fill="FFFFFF"/>
        </w:rPr>
        <w:t>e</w:t>
      </w:r>
      <w:r w:rsidRPr="000915BA">
        <w:rPr>
          <w:rFonts w:asciiTheme="minorHAnsi" w:hAnsiTheme="minorHAnsi" w:cstheme="minorHAnsi"/>
          <w:shd w:val="clear" w:color="auto" w:fill="FFFFFF"/>
        </w:rPr>
        <w:t xml:space="preserve"> Cabin</w:t>
      </w:r>
      <w:r w:rsidR="00CB3CCE">
        <w:rPr>
          <w:rFonts w:asciiTheme="minorHAnsi" w:hAnsiTheme="minorHAnsi" w:cstheme="minorHAnsi"/>
          <w:shd w:val="clear" w:color="auto" w:fill="FFFFFF"/>
        </w:rPr>
        <w:t>e</w:t>
      </w:r>
      <w:r w:rsidRPr="000915BA">
        <w:rPr>
          <w:rFonts w:asciiTheme="minorHAnsi" w:hAnsiTheme="minorHAnsi" w:cstheme="minorHAnsi"/>
          <w:shd w:val="clear" w:color="auto" w:fill="FFFFFF"/>
        </w:rPr>
        <w:t xml:space="preserve"> di Regia per lo Sviluppo delle Aree Interne che si </w:t>
      </w:r>
      <w:r w:rsidR="00CB3CCE">
        <w:rPr>
          <w:rFonts w:asciiTheme="minorHAnsi" w:hAnsiTheme="minorHAnsi" w:cstheme="minorHAnsi"/>
          <w:shd w:val="clear" w:color="auto" w:fill="FFFFFF"/>
        </w:rPr>
        <w:t>sono svolte</w:t>
      </w:r>
      <w:r w:rsidRPr="000915BA">
        <w:rPr>
          <w:rFonts w:asciiTheme="minorHAnsi" w:hAnsiTheme="minorHAnsi" w:cstheme="minorHAnsi"/>
          <w:shd w:val="clear" w:color="auto" w:fill="FFFFFF"/>
        </w:rPr>
        <w:t xml:space="preserve"> il 9 aprile</w:t>
      </w:r>
      <w:r w:rsidR="00CB3CCE">
        <w:rPr>
          <w:rFonts w:asciiTheme="minorHAnsi" w:hAnsiTheme="minorHAnsi" w:cstheme="minorHAnsi"/>
          <w:shd w:val="clear" w:color="auto" w:fill="FFFFFF"/>
        </w:rPr>
        <w:t xml:space="preserve"> e il 31 luglio</w:t>
      </w:r>
      <w:r w:rsidRPr="000915BA">
        <w:rPr>
          <w:rFonts w:asciiTheme="minorHAnsi" w:hAnsiTheme="minorHAnsi" w:cstheme="minorHAnsi"/>
          <w:shd w:val="clear" w:color="auto" w:fill="FFFFFF"/>
        </w:rPr>
        <w:t xml:space="preserve"> 2025 l’Unione delle Provincie d’Italia ha espresso parere favorevole all’approvazione del Piano strategico </w:t>
      </w:r>
      <w:r>
        <w:rPr>
          <w:rFonts w:asciiTheme="minorHAnsi" w:hAnsiTheme="minorHAnsi" w:cstheme="minorHAnsi"/>
          <w:shd w:val="clear" w:color="auto" w:fill="FFFFFF"/>
        </w:rPr>
        <w:t>delle Aree Interne</w:t>
      </w:r>
      <w:r w:rsidRPr="000915BA">
        <w:rPr>
          <w:rFonts w:asciiTheme="minorHAnsi" w:hAnsiTheme="minorHAnsi" w:cstheme="minorHAnsi"/>
          <w:shd w:val="clear" w:color="auto" w:fill="FFFFFF"/>
        </w:rPr>
        <w:t>, pur evidenziando</w:t>
      </w:r>
      <w:r w:rsidR="00B451E5">
        <w:rPr>
          <w:rFonts w:asciiTheme="minorHAnsi" w:hAnsiTheme="minorHAnsi" w:cstheme="minorHAnsi"/>
          <w:shd w:val="clear" w:color="auto" w:fill="FFFFFF"/>
        </w:rPr>
        <w:t xml:space="preserve"> </w:t>
      </w:r>
      <w:r w:rsidRPr="000915BA">
        <w:rPr>
          <w:rFonts w:asciiTheme="minorHAnsi" w:hAnsiTheme="minorHAnsi" w:cstheme="minorHAnsi"/>
          <w:shd w:val="clear" w:color="auto" w:fill="FFFFFF"/>
        </w:rPr>
        <w:t>alcune criticità e spunti che riteniamo utile condividere.</w:t>
      </w:r>
    </w:p>
    <w:p w14:paraId="63349E03" w14:textId="77777777" w:rsidR="000915BA" w:rsidRDefault="000915BA" w:rsidP="00416B71">
      <w:pPr>
        <w:suppressAutoHyphens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391B1D00" w14:textId="7EB79AC2" w:rsidR="000C6936" w:rsidRPr="003933BD" w:rsidRDefault="00D5442C" w:rsidP="000C6936">
      <w:pPr>
        <w:suppressAutoHyphens w:val="0"/>
        <w:spacing w:after="160"/>
        <w:jc w:val="both"/>
        <w:rPr>
          <w:rFonts w:asciiTheme="minorHAnsi" w:hAnsiTheme="minorHAnsi" w:cstheme="minorHAnsi"/>
        </w:rPr>
      </w:pPr>
      <w:r w:rsidRPr="00D5442C">
        <w:rPr>
          <w:rFonts w:asciiTheme="minorHAnsi" w:hAnsiTheme="minorHAnsi" w:cstheme="minorHAnsi"/>
          <w:shd w:val="clear" w:color="auto" w:fill="FFFFFF"/>
        </w:rPr>
        <w:t xml:space="preserve">Il </w:t>
      </w:r>
      <w:r w:rsidRPr="00D5442C">
        <w:rPr>
          <w:rFonts w:asciiTheme="minorHAnsi" w:hAnsiTheme="minorHAnsi" w:cstheme="minorHAnsi"/>
        </w:rPr>
        <w:t xml:space="preserve">Piano strategico delle aeree interne rappresenta uno strumento di particolare importanza per </w:t>
      </w:r>
      <w:r w:rsidR="00B56849">
        <w:rPr>
          <w:rFonts w:asciiTheme="minorHAnsi" w:hAnsiTheme="minorHAnsi" w:cstheme="minorHAnsi"/>
        </w:rPr>
        <w:t>il sistema delle</w:t>
      </w:r>
      <w:r w:rsidRPr="00D5442C">
        <w:rPr>
          <w:rFonts w:asciiTheme="minorHAnsi" w:hAnsiTheme="minorHAnsi" w:cstheme="minorHAnsi"/>
        </w:rPr>
        <w:t xml:space="preserve"> Province, poiché impatta con le azioni di sviluppo territoriale programmate e coordinate da</w:t>
      </w:r>
      <w:r w:rsidR="00BC6B03">
        <w:rPr>
          <w:rFonts w:asciiTheme="minorHAnsi" w:hAnsiTheme="minorHAnsi" w:cstheme="minorHAnsi"/>
        </w:rPr>
        <w:t>lle nostre</w:t>
      </w:r>
      <w:r w:rsidRPr="00D5442C">
        <w:rPr>
          <w:rFonts w:asciiTheme="minorHAnsi" w:hAnsiTheme="minorHAnsi" w:cstheme="minorHAnsi"/>
        </w:rPr>
        <w:t xml:space="preserve"> istituzioni. Basti pensare alla viabilità provinciale, che è la rete che tiene insieme proprio queste comunità con le aree urbane, e che dunque rappresenta un ambito strategico prioritario per qualunque politica mirata a migliorare la coesione territoriale, economica e sociale. </w:t>
      </w:r>
      <w:r w:rsidR="000C6936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A tal fine s</w:t>
      </w:r>
      <w:r w:rsidR="000C6936" w:rsidRPr="003933BD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i evidenzia</w:t>
      </w:r>
      <w:r w:rsidR="000C6936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 xml:space="preserve"> </w:t>
      </w:r>
      <w:r w:rsidR="000C6936" w:rsidRPr="003933BD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c</w:t>
      </w:r>
      <w:r w:rsidR="005A2F10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he</w:t>
      </w:r>
      <w:r w:rsidR="000C6936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 xml:space="preserve"> </w:t>
      </w:r>
      <w:r w:rsidR="005A2F10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il</w:t>
      </w:r>
      <w:r w:rsidR="000C6936" w:rsidRPr="003933BD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 xml:space="preserve"> </w:t>
      </w:r>
      <w:hyperlink r:id="rId9" w:tgtFrame="_blank" w:history="1">
        <w:r w:rsidR="000C6936" w:rsidRPr="008E61C9">
          <w:rPr>
            <w:rFonts w:asciiTheme="minorHAnsi" w:hAnsiTheme="minorHAnsi" w:cstheme="minorHAnsi"/>
            <w:b/>
            <w:bCs/>
            <w:u w:val="single"/>
            <w:shd w:val="clear" w:color="auto" w:fill="FFFFFF"/>
          </w:rPr>
          <w:t>Decreto del Ministero delle Infrastrutture e dei Trasporti (MIT) n.</w:t>
        </w:r>
      </w:hyperlink>
      <w:r w:rsidR="000C6936" w:rsidRPr="008E61C9">
        <w:rPr>
          <w:rFonts w:asciiTheme="minorHAnsi" w:hAnsiTheme="minorHAnsi" w:cstheme="minorHAnsi"/>
          <w:b/>
          <w:bCs/>
          <w:u w:val="single"/>
          <w:shd w:val="clear" w:color="auto" w:fill="FFFFFF"/>
        </w:rPr>
        <w:t> </w:t>
      </w:r>
      <w:hyperlink r:id="rId10" w:tgtFrame="_blank" w:history="1">
        <w:r w:rsidR="000C6936" w:rsidRPr="008E61C9">
          <w:rPr>
            <w:rFonts w:asciiTheme="minorHAnsi" w:hAnsiTheme="minorHAnsi" w:cstheme="minorHAnsi"/>
            <w:b/>
            <w:bCs/>
            <w:u w:val="single"/>
            <w:shd w:val="clear" w:color="auto" w:fill="FFFFFF"/>
          </w:rPr>
          <w:t>394 del 13 ottobre 2021</w:t>
        </w:r>
      </w:hyperlink>
      <w:r w:rsidR="005A2F10">
        <w:t xml:space="preserve"> </w:t>
      </w:r>
      <w:r w:rsidR="005A2F10" w:rsidRPr="005A2F10">
        <w:rPr>
          <w:rFonts w:asciiTheme="minorHAnsi" w:hAnsiTheme="minorHAnsi" w:cstheme="minorHAnsi"/>
        </w:rPr>
        <w:t>ha assegnato alle</w:t>
      </w:r>
      <w:r w:rsidR="000C6936" w:rsidRPr="005A2F10">
        <w:rPr>
          <w:rFonts w:asciiTheme="minorHAnsi" w:hAnsiTheme="minorHAnsi" w:cstheme="minorHAnsi"/>
        </w:rPr>
        <w:t xml:space="preserve"> Province</w:t>
      </w:r>
      <w:r w:rsidR="005A2F10">
        <w:rPr>
          <w:rFonts w:asciiTheme="minorHAnsi" w:hAnsiTheme="minorHAnsi" w:cstheme="minorHAnsi"/>
        </w:rPr>
        <w:t xml:space="preserve">, </w:t>
      </w:r>
      <w:r w:rsidR="000C6936" w:rsidRPr="005A2F10">
        <w:rPr>
          <w:rFonts w:asciiTheme="minorHAnsi" w:hAnsiTheme="minorHAnsi" w:cstheme="minorHAnsi"/>
        </w:rPr>
        <w:t xml:space="preserve">individuate come soggetti </w:t>
      </w:r>
      <w:r w:rsidR="005A2F10" w:rsidRPr="005A2F10">
        <w:rPr>
          <w:rFonts w:asciiTheme="minorHAnsi" w:hAnsiTheme="minorHAnsi" w:cstheme="minorHAnsi"/>
        </w:rPr>
        <w:t>attuatori</w:t>
      </w:r>
      <w:r w:rsidR="005A2F10">
        <w:rPr>
          <w:rFonts w:asciiTheme="minorHAnsi" w:hAnsiTheme="minorHAnsi" w:cstheme="minorHAnsi"/>
        </w:rPr>
        <w:t xml:space="preserve">, </w:t>
      </w:r>
      <w:r w:rsidR="005A2F10" w:rsidRPr="005A2F10">
        <w:rPr>
          <w:rFonts w:asciiTheme="minorHAnsi" w:hAnsiTheme="minorHAnsi" w:cstheme="minorHAnsi"/>
        </w:rPr>
        <w:t xml:space="preserve">300 milioni di euro ripartiti sulle annualità dal 2021 al 2026 </w:t>
      </w:r>
      <w:r w:rsidR="005A2F10">
        <w:rPr>
          <w:rFonts w:asciiTheme="minorHAnsi" w:hAnsiTheme="minorHAnsi" w:cstheme="minorHAnsi"/>
        </w:rPr>
        <w:t xml:space="preserve">per </w:t>
      </w:r>
      <w:r w:rsidR="005A2F10" w:rsidRPr="005A2F10">
        <w:rPr>
          <w:rFonts w:asciiTheme="minorHAnsi" w:hAnsiTheme="minorHAnsi" w:cstheme="minorHAnsi"/>
        </w:rPr>
        <w:t>interventi straordinari di manutenzione</w:t>
      </w:r>
      <w:r w:rsidR="005A2F10">
        <w:rPr>
          <w:rFonts w:asciiTheme="minorHAnsi" w:hAnsiTheme="minorHAnsi" w:cstheme="minorHAnsi"/>
        </w:rPr>
        <w:t xml:space="preserve"> viaria</w:t>
      </w:r>
      <w:r w:rsidR="005A2F10" w:rsidRPr="005A2F10">
        <w:rPr>
          <w:rFonts w:asciiTheme="minorHAnsi" w:hAnsiTheme="minorHAnsi" w:cstheme="minorHAnsi"/>
        </w:rPr>
        <w:t xml:space="preserve"> finalizzati a assicurare il miglioramento dell’accessibilità delle aree interne</w:t>
      </w:r>
      <w:r w:rsidR="005A2F10">
        <w:rPr>
          <w:rFonts w:asciiTheme="minorHAnsi" w:hAnsiTheme="minorHAnsi" w:cstheme="minorHAnsi"/>
        </w:rPr>
        <w:t xml:space="preserve">. </w:t>
      </w:r>
      <w:r w:rsidR="005A2F10" w:rsidRPr="005A2F10">
        <w:rPr>
          <w:rFonts w:asciiTheme="minorHAnsi" w:hAnsiTheme="minorHAnsi" w:cstheme="minorHAnsi"/>
        </w:rPr>
        <w:t xml:space="preserve"> </w:t>
      </w:r>
    </w:p>
    <w:p w14:paraId="79301187" w14:textId="328AA7BF" w:rsidR="00D5442C" w:rsidRDefault="00CF4E5E" w:rsidP="00416B71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D5442C" w:rsidRPr="00D5442C">
        <w:rPr>
          <w:rFonts w:asciiTheme="minorHAnsi" w:hAnsiTheme="minorHAnsi" w:cstheme="minorHAnsi"/>
        </w:rPr>
        <w:t>a gestione dell’edilizia scolastica superiore</w:t>
      </w:r>
      <w:r>
        <w:rPr>
          <w:rFonts w:asciiTheme="minorHAnsi" w:hAnsiTheme="minorHAnsi" w:cstheme="minorHAnsi"/>
        </w:rPr>
        <w:t xml:space="preserve"> è </w:t>
      </w:r>
      <w:r w:rsidR="00D5442C" w:rsidRPr="00D5442C">
        <w:rPr>
          <w:rFonts w:asciiTheme="minorHAnsi" w:hAnsiTheme="minorHAnsi" w:cstheme="minorHAnsi"/>
        </w:rPr>
        <w:t xml:space="preserve">un </w:t>
      </w:r>
      <w:r>
        <w:rPr>
          <w:rFonts w:asciiTheme="minorHAnsi" w:hAnsiTheme="minorHAnsi" w:cstheme="minorHAnsi"/>
        </w:rPr>
        <w:t xml:space="preserve">altro </w:t>
      </w:r>
      <w:r w:rsidR="00D5442C" w:rsidRPr="00D5442C">
        <w:rPr>
          <w:rFonts w:asciiTheme="minorHAnsi" w:hAnsiTheme="minorHAnsi" w:cstheme="minorHAnsi"/>
        </w:rPr>
        <w:t>servizio essenziale per le comunità e uno tra</w:t>
      </w:r>
      <w:r w:rsidR="00BC6B03">
        <w:rPr>
          <w:rFonts w:asciiTheme="minorHAnsi" w:hAnsiTheme="minorHAnsi" w:cstheme="minorHAnsi"/>
        </w:rPr>
        <w:t xml:space="preserve"> </w:t>
      </w:r>
      <w:r w:rsidR="00D5442C" w:rsidRPr="00D5442C">
        <w:rPr>
          <w:rFonts w:asciiTheme="minorHAnsi" w:hAnsiTheme="minorHAnsi" w:cstheme="minorHAnsi"/>
        </w:rPr>
        <w:t xml:space="preserve">i fattori determinanti per assicurare ai </w:t>
      </w:r>
      <w:r w:rsidR="00BC6B03">
        <w:rPr>
          <w:rFonts w:asciiTheme="minorHAnsi" w:hAnsiTheme="minorHAnsi" w:cstheme="minorHAnsi"/>
        </w:rPr>
        <w:t>giovani</w:t>
      </w:r>
      <w:r w:rsidR="00D5442C" w:rsidRPr="00D5442C">
        <w:rPr>
          <w:rFonts w:asciiTheme="minorHAnsi" w:hAnsiTheme="minorHAnsi" w:cstheme="minorHAnsi"/>
        </w:rPr>
        <w:t xml:space="preserve"> pari accesso all’istruzione</w:t>
      </w:r>
      <w:r w:rsidR="00361C16">
        <w:rPr>
          <w:rFonts w:asciiTheme="minorHAnsi" w:hAnsiTheme="minorHAnsi" w:cstheme="minorHAnsi"/>
        </w:rPr>
        <w:t>,</w:t>
      </w:r>
      <w:r w:rsidR="00415A99">
        <w:rPr>
          <w:rFonts w:asciiTheme="minorHAnsi" w:hAnsiTheme="minorHAnsi" w:cstheme="minorHAnsi"/>
        </w:rPr>
        <w:t xml:space="preserve"> anche con riferimento all’articolazione della rete delle scuole superiori nelle Aree Interne e marginali</w:t>
      </w:r>
      <w:r w:rsidR="000915B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così come</w:t>
      </w:r>
      <w:r w:rsidR="000915BA">
        <w:rPr>
          <w:rFonts w:asciiTheme="minorHAnsi" w:hAnsiTheme="minorHAnsi" w:cstheme="minorHAnsi"/>
        </w:rPr>
        <w:t xml:space="preserve"> le politiche ambientali e di sostenibilità </w:t>
      </w:r>
      <w:r w:rsidR="00415A99">
        <w:rPr>
          <w:rFonts w:asciiTheme="minorHAnsi" w:hAnsiTheme="minorHAnsi" w:cstheme="minorHAnsi"/>
        </w:rPr>
        <w:t xml:space="preserve">sono </w:t>
      </w:r>
      <w:r w:rsidR="000915BA">
        <w:rPr>
          <w:rFonts w:asciiTheme="minorHAnsi" w:hAnsiTheme="minorHAnsi" w:cstheme="minorHAnsi"/>
        </w:rPr>
        <w:t>fondamentali per la salvaguardia delle risorse naturali dei territori.</w:t>
      </w:r>
      <w:r w:rsidR="00D5442C" w:rsidRPr="00D5442C">
        <w:rPr>
          <w:rFonts w:asciiTheme="minorHAnsi" w:hAnsiTheme="minorHAnsi" w:cstheme="minorHAnsi"/>
        </w:rPr>
        <w:t xml:space="preserve"> </w:t>
      </w:r>
    </w:p>
    <w:p w14:paraId="338AB8C9" w14:textId="77777777" w:rsidR="004820F7" w:rsidRDefault="004820F7" w:rsidP="00416B71">
      <w:pPr>
        <w:suppressAutoHyphens w:val="0"/>
        <w:jc w:val="both"/>
        <w:rPr>
          <w:rFonts w:asciiTheme="minorHAnsi" w:hAnsiTheme="minorHAnsi" w:cstheme="minorHAnsi"/>
        </w:rPr>
      </w:pPr>
    </w:p>
    <w:p w14:paraId="636E0477" w14:textId="6CF29F5B" w:rsidR="004820F7" w:rsidRDefault="000915BA" w:rsidP="00416B71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Riteniamo</w:t>
      </w:r>
      <w:r w:rsidR="004820F7">
        <w:rPr>
          <w:rFonts w:asciiTheme="minorHAnsi" w:hAnsiTheme="minorHAnsi" w:cstheme="minorHAnsi"/>
        </w:rPr>
        <w:t xml:space="preserve"> che </w:t>
      </w:r>
      <w:r w:rsidR="00D5442C" w:rsidRPr="004820F7">
        <w:rPr>
          <w:rFonts w:asciiTheme="minorHAnsi" w:hAnsiTheme="minorHAnsi" w:cstheme="minorHAnsi"/>
        </w:rPr>
        <w:t xml:space="preserve">proprio dalla collaborazione e dal coordinamento di tutte le istituzioni sia possibile realizzare politiche strutturate ed incisive, evitando interventi disallineati che non producono un vero cambiamento sui territori. </w:t>
      </w:r>
      <w:r w:rsidR="00BC6B03">
        <w:rPr>
          <w:rFonts w:asciiTheme="minorHAnsi" w:hAnsiTheme="minorHAnsi" w:cstheme="minorHAnsi"/>
        </w:rPr>
        <w:t xml:space="preserve">In questa prospettiva evidenziamo </w:t>
      </w:r>
      <w:r w:rsidR="00D5442C" w:rsidRPr="004820F7">
        <w:rPr>
          <w:rFonts w:asciiTheme="minorHAnsi" w:hAnsiTheme="minorHAnsi" w:cstheme="minorHAnsi"/>
        </w:rPr>
        <w:t>alcune criticità su cui risulta essenziale intervenire: la mancanza di un coordinamento tra gli attori istituzionali, la debolezza delle strutture amministrative dei Comuni interessati, la necessità di concentrare gli interventi su alcuni temi chiave come la mobilità, i trasporti</w:t>
      </w:r>
      <w:r>
        <w:rPr>
          <w:rFonts w:asciiTheme="minorHAnsi" w:hAnsiTheme="minorHAnsi" w:cstheme="minorHAnsi"/>
        </w:rPr>
        <w:t xml:space="preserve"> e</w:t>
      </w:r>
      <w:r w:rsidR="00D5442C" w:rsidRPr="004820F7">
        <w:rPr>
          <w:rFonts w:asciiTheme="minorHAnsi" w:hAnsiTheme="minorHAnsi" w:cstheme="minorHAnsi"/>
        </w:rPr>
        <w:t xml:space="preserve"> l’offerta formativa. </w:t>
      </w:r>
    </w:p>
    <w:p w14:paraId="32F4E23F" w14:textId="77777777" w:rsidR="00B718A3" w:rsidRDefault="00B718A3" w:rsidP="00416B71">
      <w:pPr>
        <w:suppressAutoHyphens w:val="0"/>
        <w:jc w:val="both"/>
        <w:rPr>
          <w:rFonts w:asciiTheme="minorHAnsi" w:hAnsiTheme="minorHAnsi" w:cstheme="minorHAnsi"/>
        </w:rPr>
      </w:pPr>
    </w:p>
    <w:p w14:paraId="4B9E9E32" w14:textId="7D855C5F" w:rsidR="004820F7" w:rsidRDefault="00D5442C" w:rsidP="00416B71">
      <w:pPr>
        <w:suppressAutoHyphens w:val="0"/>
        <w:jc w:val="both"/>
        <w:rPr>
          <w:rFonts w:asciiTheme="minorHAnsi" w:hAnsiTheme="minorHAnsi" w:cstheme="minorHAnsi"/>
        </w:rPr>
      </w:pPr>
      <w:r w:rsidRPr="004820F7">
        <w:rPr>
          <w:rFonts w:asciiTheme="minorHAnsi" w:hAnsiTheme="minorHAnsi" w:cstheme="minorHAnsi"/>
        </w:rPr>
        <w:t xml:space="preserve">Proprio partendo da queste riflessioni, </w:t>
      </w:r>
      <w:r w:rsidR="004820F7">
        <w:rPr>
          <w:rFonts w:asciiTheme="minorHAnsi" w:hAnsiTheme="minorHAnsi" w:cstheme="minorHAnsi"/>
        </w:rPr>
        <w:t xml:space="preserve">risulta particolarmente importante valorizzare il ruolo che le Province, in quanto enti </w:t>
      </w:r>
      <w:r w:rsidRPr="004820F7">
        <w:rPr>
          <w:rFonts w:asciiTheme="minorHAnsi" w:hAnsiTheme="minorHAnsi" w:cstheme="minorHAnsi"/>
        </w:rPr>
        <w:t xml:space="preserve">di area vasta, </w:t>
      </w:r>
      <w:r w:rsidR="004820F7">
        <w:rPr>
          <w:rFonts w:asciiTheme="minorHAnsi" w:hAnsiTheme="minorHAnsi" w:cstheme="minorHAnsi"/>
        </w:rPr>
        <w:t>poss</w:t>
      </w:r>
      <w:r w:rsidR="00DF061F">
        <w:rPr>
          <w:rFonts w:asciiTheme="minorHAnsi" w:hAnsiTheme="minorHAnsi" w:cstheme="minorHAnsi"/>
        </w:rPr>
        <w:t>o</w:t>
      </w:r>
      <w:r w:rsidR="004820F7">
        <w:rPr>
          <w:rFonts w:asciiTheme="minorHAnsi" w:hAnsiTheme="minorHAnsi" w:cstheme="minorHAnsi"/>
        </w:rPr>
        <w:t>no svolgere a supporto dei Comuni delle aree più periferiche</w:t>
      </w:r>
      <w:r w:rsidR="00321328">
        <w:rPr>
          <w:rFonts w:asciiTheme="minorHAnsi" w:hAnsiTheme="minorHAnsi" w:cstheme="minorHAnsi"/>
        </w:rPr>
        <w:t xml:space="preserve"> sostenendo le realtà territoriali nell’elaborazione di progetti</w:t>
      </w:r>
      <w:r w:rsidR="005A2F10">
        <w:rPr>
          <w:rFonts w:asciiTheme="minorHAnsi" w:hAnsiTheme="minorHAnsi" w:cstheme="minorHAnsi"/>
        </w:rPr>
        <w:t xml:space="preserve">. Questo eviterebbe </w:t>
      </w:r>
      <w:r w:rsidRPr="004820F7">
        <w:rPr>
          <w:rFonts w:asciiTheme="minorHAnsi" w:hAnsiTheme="minorHAnsi" w:cstheme="minorHAnsi"/>
        </w:rPr>
        <w:t xml:space="preserve">il rischio di impegnare risorse su micro-interventi di scarso impatto e durata, non significativi rispetto all’obiettivo di assicurare una crescita economica e sociale strutturata delle aree interne. </w:t>
      </w:r>
    </w:p>
    <w:p w14:paraId="4E6313EE" w14:textId="77777777" w:rsidR="00DF061F" w:rsidRDefault="00DF061F" w:rsidP="00416B71">
      <w:pPr>
        <w:suppressAutoHyphens w:val="0"/>
        <w:jc w:val="both"/>
        <w:rPr>
          <w:rFonts w:asciiTheme="minorHAnsi" w:hAnsiTheme="minorHAnsi" w:cstheme="minorHAnsi"/>
        </w:rPr>
      </w:pPr>
    </w:p>
    <w:p w14:paraId="51A889EF" w14:textId="7F55FBF5" w:rsidR="004820F7" w:rsidRDefault="00DF061F" w:rsidP="00416B71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Questo lavoro serve non solo a fluidificare i processi amministrativi, ma anche </w:t>
      </w:r>
      <w:r w:rsidR="005A2F1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superare la solitudine e l’isolamento degli attori sociali e istituzionali e dei cittadini delle aree interne</w:t>
      </w:r>
      <w:r w:rsidR="005A2F10">
        <w:rPr>
          <w:rFonts w:asciiTheme="minorHAnsi" w:hAnsiTheme="minorHAnsi" w:cstheme="minorHAnsi"/>
        </w:rPr>
        <w:t xml:space="preserve">, come enunciato nella </w:t>
      </w:r>
      <w:r w:rsidR="00BE2ECE">
        <w:rPr>
          <w:rFonts w:asciiTheme="minorHAnsi" w:hAnsiTheme="minorHAnsi" w:cstheme="minorHAnsi"/>
        </w:rPr>
        <w:t>“</w:t>
      </w:r>
      <w:r w:rsidR="005A2F10" w:rsidRPr="008E61C9">
        <w:rPr>
          <w:rFonts w:asciiTheme="minorHAnsi" w:hAnsiTheme="minorHAnsi" w:cstheme="minorHAnsi"/>
          <w:b/>
          <w:bCs/>
          <w:u w:val="single"/>
        </w:rPr>
        <w:t>Lettera aperta al Governo e al Parlamento</w:t>
      </w:r>
      <w:r w:rsidR="005A2F10" w:rsidRPr="00BE2ECE">
        <w:rPr>
          <w:rFonts w:asciiTheme="minorHAnsi" w:hAnsiTheme="minorHAnsi" w:cstheme="minorHAnsi"/>
        </w:rPr>
        <w:t>”, sottoscritta da</w:t>
      </w:r>
      <w:r w:rsidR="00415A99">
        <w:rPr>
          <w:rFonts w:asciiTheme="minorHAnsi" w:hAnsiTheme="minorHAnsi" w:cstheme="minorHAnsi"/>
        </w:rPr>
        <w:t>l C</w:t>
      </w:r>
      <w:r w:rsidR="00415A99" w:rsidRPr="00415A99">
        <w:rPr>
          <w:rFonts w:asciiTheme="minorHAnsi" w:hAnsiTheme="minorHAnsi" w:cstheme="minorHAnsi"/>
        </w:rPr>
        <w:t>ard. Matteo Maria Zuppi, Arcivescovo di Bologna</w:t>
      </w:r>
      <w:r w:rsidR="00415A99">
        <w:rPr>
          <w:rFonts w:asciiTheme="minorHAnsi" w:hAnsiTheme="minorHAnsi" w:cstheme="minorHAnsi"/>
        </w:rPr>
        <w:t xml:space="preserve"> e</w:t>
      </w:r>
      <w:r w:rsidR="00415A99" w:rsidRPr="00415A99">
        <w:rPr>
          <w:rFonts w:asciiTheme="minorHAnsi" w:hAnsiTheme="minorHAnsi" w:cstheme="minorHAnsi"/>
        </w:rPr>
        <w:t xml:space="preserve"> Presidente CEI</w:t>
      </w:r>
      <w:r w:rsidR="00415A99">
        <w:rPr>
          <w:rFonts w:asciiTheme="minorHAnsi" w:hAnsiTheme="minorHAnsi" w:cstheme="minorHAnsi"/>
        </w:rPr>
        <w:t xml:space="preserve"> e altri 140 </w:t>
      </w:r>
      <w:r w:rsidR="00415A99" w:rsidRPr="00415A99">
        <w:rPr>
          <w:rFonts w:asciiTheme="minorHAnsi" w:hAnsiTheme="minorHAnsi" w:cstheme="minorHAnsi"/>
        </w:rPr>
        <w:t>tra Cardinali, Arcivescovi, Vescovi e Abati</w:t>
      </w:r>
      <w:r w:rsidR="00415A99">
        <w:rPr>
          <w:rFonts w:asciiTheme="minorHAnsi" w:hAnsiTheme="minorHAnsi" w:cstheme="minorHAnsi"/>
        </w:rPr>
        <w:t xml:space="preserve"> rappresentanti di tutte le Diocesi del nostro paese.</w:t>
      </w:r>
    </w:p>
    <w:p w14:paraId="7BDC2A10" w14:textId="77777777" w:rsidR="005A2F10" w:rsidRDefault="005A2F10" w:rsidP="00416B71">
      <w:pPr>
        <w:suppressAutoHyphens w:val="0"/>
        <w:jc w:val="both"/>
        <w:rPr>
          <w:rFonts w:asciiTheme="minorHAnsi" w:hAnsiTheme="minorHAnsi" w:cstheme="minorHAnsi"/>
        </w:rPr>
      </w:pPr>
    </w:p>
    <w:p w14:paraId="427A5244" w14:textId="0D0C2C4B" w:rsidR="005F47EC" w:rsidRDefault="00321328" w:rsidP="00416B71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</w:t>
      </w:r>
      <w:r w:rsidR="005F47EC">
        <w:rPr>
          <w:rFonts w:asciiTheme="minorHAnsi" w:hAnsiTheme="minorHAnsi" w:cstheme="minorHAnsi"/>
        </w:rPr>
        <w:t xml:space="preserve"> fini della</w:t>
      </w:r>
      <w:r w:rsidR="00D5442C" w:rsidRPr="004820F7">
        <w:rPr>
          <w:rFonts w:asciiTheme="minorHAnsi" w:hAnsiTheme="minorHAnsi" w:cstheme="minorHAnsi"/>
        </w:rPr>
        <w:t xml:space="preserve"> piena attuazione del Piano</w:t>
      </w:r>
      <w:r w:rsidR="00415A99">
        <w:rPr>
          <w:rFonts w:asciiTheme="minorHAnsi" w:hAnsiTheme="minorHAnsi" w:cstheme="minorHAnsi"/>
        </w:rPr>
        <w:t xml:space="preserve"> l’Unione Province d’Italia</w:t>
      </w:r>
      <w:r>
        <w:rPr>
          <w:rFonts w:asciiTheme="minorHAnsi" w:hAnsiTheme="minorHAnsi" w:cstheme="minorHAnsi"/>
        </w:rPr>
        <w:t xml:space="preserve"> evidenzia, pertanto, la necessità</w:t>
      </w:r>
      <w:r w:rsidR="005F47EC">
        <w:rPr>
          <w:rFonts w:asciiTheme="minorHAnsi" w:hAnsiTheme="minorHAnsi" w:cstheme="minorHAnsi"/>
        </w:rPr>
        <w:t xml:space="preserve"> di</w:t>
      </w:r>
      <w:r w:rsidR="00D5442C" w:rsidRPr="004820F7">
        <w:rPr>
          <w:rFonts w:asciiTheme="minorHAnsi" w:hAnsiTheme="minorHAnsi" w:cstheme="minorHAnsi"/>
        </w:rPr>
        <w:t xml:space="preserve">: </w:t>
      </w:r>
    </w:p>
    <w:p w14:paraId="0AF87C89" w14:textId="77777777" w:rsidR="005F47EC" w:rsidRDefault="005F47EC" w:rsidP="00416B71">
      <w:pPr>
        <w:suppressAutoHyphens w:val="0"/>
        <w:jc w:val="both"/>
        <w:rPr>
          <w:rFonts w:asciiTheme="minorHAnsi" w:hAnsiTheme="minorHAnsi" w:cstheme="minorHAnsi"/>
        </w:rPr>
      </w:pPr>
    </w:p>
    <w:p w14:paraId="3F3A39D5" w14:textId="77777777" w:rsidR="00695F22" w:rsidRDefault="000915BA" w:rsidP="00031CBC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B451E5">
        <w:rPr>
          <w:rFonts w:asciiTheme="minorHAnsi" w:hAnsiTheme="minorHAnsi" w:cstheme="minorHAnsi"/>
        </w:rPr>
        <w:t>adottare</w:t>
      </w:r>
      <w:r w:rsidR="00415A99" w:rsidRPr="00415A99">
        <w:rPr>
          <w:rFonts w:asciiTheme="minorHAnsi" w:hAnsiTheme="minorHAnsi" w:cstheme="minorHAnsi"/>
          <w:b/>
          <w:bCs/>
        </w:rPr>
        <w:t xml:space="preserve"> </w:t>
      </w:r>
      <w:r w:rsidR="00415A99" w:rsidRPr="00B451E5">
        <w:rPr>
          <w:rFonts w:asciiTheme="minorHAnsi" w:hAnsiTheme="minorHAnsi" w:cstheme="minorHAnsi"/>
          <w:b/>
          <w:bCs/>
        </w:rPr>
        <w:t>Piani strategici provinciali di sviluppo locale</w:t>
      </w:r>
      <w:r w:rsidR="00695F22">
        <w:rPr>
          <w:rFonts w:asciiTheme="minorHAnsi" w:hAnsiTheme="minorHAnsi" w:cstheme="minorHAnsi"/>
          <w:b/>
          <w:bCs/>
        </w:rPr>
        <w:t>,</w:t>
      </w:r>
      <w:r w:rsidR="00415A99">
        <w:rPr>
          <w:rFonts w:asciiTheme="minorHAnsi" w:hAnsiTheme="minorHAnsi" w:cstheme="minorHAnsi"/>
          <w:b/>
          <w:bCs/>
        </w:rPr>
        <w:t xml:space="preserve"> </w:t>
      </w:r>
      <w:r w:rsidR="00695F22" w:rsidRPr="00B451E5">
        <w:rPr>
          <w:rFonts w:asciiTheme="minorHAnsi" w:hAnsiTheme="minorHAnsi" w:cstheme="minorHAnsi"/>
        </w:rPr>
        <w:t xml:space="preserve">elaborati con il coinvolgimento dei Comuni nelle assemblee dei sindaci, </w:t>
      </w:r>
      <w:r w:rsidR="00415A99">
        <w:rPr>
          <w:rFonts w:asciiTheme="minorHAnsi" w:hAnsiTheme="minorHAnsi" w:cstheme="minorHAnsi"/>
        </w:rPr>
        <w:t xml:space="preserve">che </w:t>
      </w:r>
      <w:r w:rsidRPr="00B451E5">
        <w:rPr>
          <w:rFonts w:asciiTheme="minorHAnsi" w:hAnsiTheme="minorHAnsi" w:cstheme="minorHAnsi"/>
        </w:rPr>
        <w:t>valorizz</w:t>
      </w:r>
      <w:r w:rsidR="00415A99">
        <w:rPr>
          <w:rFonts w:asciiTheme="minorHAnsi" w:hAnsiTheme="minorHAnsi" w:cstheme="minorHAnsi"/>
        </w:rPr>
        <w:t>ino</w:t>
      </w:r>
      <w:r w:rsidRPr="00B451E5">
        <w:rPr>
          <w:rFonts w:asciiTheme="minorHAnsi" w:hAnsiTheme="minorHAnsi" w:cstheme="minorHAnsi"/>
        </w:rPr>
        <w:t xml:space="preserve"> le capacità dell’Ente Provincia di programmazione e di monitoraggio dei servizi nei territori</w:t>
      </w:r>
      <w:r w:rsidR="00695F22">
        <w:rPr>
          <w:rFonts w:asciiTheme="minorHAnsi" w:hAnsiTheme="minorHAnsi" w:cstheme="minorHAnsi"/>
        </w:rPr>
        <w:t>;</w:t>
      </w:r>
    </w:p>
    <w:p w14:paraId="4EBD3608" w14:textId="77777777" w:rsidR="00695F22" w:rsidRDefault="00695F22" w:rsidP="00695F22">
      <w:pPr>
        <w:pStyle w:val="Paragrafoelenco"/>
        <w:ind w:left="420"/>
        <w:jc w:val="both"/>
        <w:rPr>
          <w:rFonts w:asciiTheme="minorHAnsi" w:hAnsiTheme="minorHAnsi" w:cstheme="minorHAnsi"/>
        </w:rPr>
      </w:pPr>
    </w:p>
    <w:p w14:paraId="33A28CC7" w14:textId="0EC1839E" w:rsidR="00695F22" w:rsidRPr="00B451E5" w:rsidRDefault="00695F22" w:rsidP="00695F22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B451E5">
        <w:rPr>
          <w:rFonts w:asciiTheme="minorHAnsi" w:hAnsiTheme="minorHAnsi" w:cstheme="minorHAnsi"/>
        </w:rPr>
        <w:lastRenderedPageBreak/>
        <w:t xml:space="preserve">rafforzare la capacità di progettare e attuare interventi </w:t>
      </w:r>
      <w:r>
        <w:rPr>
          <w:rFonts w:asciiTheme="minorHAnsi" w:hAnsiTheme="minorHAnsi" w:cstheme="minorHAnsi"/>
        </w:rPr>
        <w:t xml:space="preserve">in favore delle Aree Interne e Marginali </w:t>
      </w:r>
      <w:r w:rsidRPr="00B451E5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di </w:t>
      </w:r>
      <w:r w:rsidRPr="00B451E5">
        <w:rPr>
          <w:rFonts w:asciiTheme="minorHAnsi" w:hAnsiTheme="minorHAnsi" w:cstheme="minorHAnsi"/>
        </w:rPr>
        <w:t>partecipare efficacemente ai bandi e alle strategie multilivello</w:t>
      </w:r>
      <w:r>
        <w:rPr>
          <w:rFonts w:asciiTheme="minorHAnsi" w:hAnsiTheme="minorHAnsi" w:cstheme="minorHAnsi"/>
        </w:rPr>
        <w:t xml:space="preserve">, </w:t>
      </w:r>
      <w:r w:rsidRPr="00B451E5">
        <w:rPr>
          <w:rFonts w:asciiTheme="minorHAnsi" w:hAnsiTheme="minorHAnsi" w:cstheme="minorHAnsi"/>
        </w:rPr>
        <w:t>struttura</w:t>
      </w:r>
      <w:r>
        <w:rPr>
          <w:rFonts w:asciiTheme="minorHAnsi" w:hAnsiTheme="minorHAnsi" w:cstheme="minorHAnsi"/>
        </w:rPr>
        <w:t>ndo</w:t>
      </w:r>
      <w:r w:rsidRPr="00B451E5">
        <w:rPr>
          <w:rFonts w:asciiTheme="minorHAnsi" w:hAnsiTheme="minorHAnsi" w:cstheme="minorHAnsi"/>
        </w:rPr>
        <w:t xml:space="preserve"> nelle Province un </w:t>
      </w:r>
      <w:r w:rsidRPr="00B451E5">
        <w:rPr>
          <w:rFonts w:asciiTheme="minorHAnsi" w:hAnsiTheme="minorHAnsi" w:cstheme="minorHAnsi"/>
          <w:b/>
          <w:bCs/>
        </w:rPr>
        <w:t>Ufficio per la progettazione di interventi a sostegno dei Comuni delle Aree Interne</w:t>
      </w:r>
      <w:r w:rsidRPr="00B451E5">
        <w:rPr>
          <w:rFonts w:asciiTheme="minorHAnsi" w:hAnsiTheme="minorHAnsi" w:cstheme="minorHAnsi"/>
        </w:rPr>
        <w:t xml:space="preserve">; </w:t>
      </w:r>
    </w:p>
    <w:p w14:paraId="23405BC3" w14:textId="77777777" w:rsidR="00695F22" w:rsidRPr="00695F22" w:rsidRDefault="00695F22" w:rsidP="00695F22">
      <w:pPr>
        <w:pStyle w:val="Paragrafoelenco"/>
        <w:rPr>
          <w:rFonts w:asciiTheme="minorHAnsi" w:hAnsiTheme="minorHAnsi" w:cstheme="minorHAnsi"/>
        </w:rPr>
      </w:pPr>
    </w:p>
    <w:p w14:paraId="6E67DDBA" w14:textId="0B5F5A0C" w:rsidR="00695F22" w:rsidRPr="00695F22" w:rsidRDefault="00695F22" w:rsidP="006E7DF0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695F22">
        <w:rPr>
          <w:rFonts w:asciiTheme="minorHAnsi" w:hAnsiTheme="minorHAnsi" w:cstheme="minorHAnsi"/>
        </w:rPr>
        <w:t xml:space="preserve">potenziare le </w:t>
      </w:r>
      <w:r w:rsidRPr="00695F22">
        <w:rPr>
          <w:rFonts w:asciiTheme="minorHAnsi" w:hAnsiTheme="minorHAnsi" w:cstheme="minorHAnsi"/>
          <w:b/>
          <w:bCs/>
        </w:rPr>
        <w:t>funzioni proprie delle Province di Assistenza tecnica e supporto ai Comuni</w:t>
      </w:r>
      <w:r w:rsidRPr="00695F22">
        <w:rPr>
          <w:rFonts w:asciiTheme="minorHAnsi" w:hAnsiTheme="minorHAnsi" w:cstheme="minorHAnsi"/>
        </w:rPr>
        <w:t xml:space="preserve"> coadiuvando i territori nella gestione delle gare relative agli interventi sulle Aree Interne e marginali, anche promuovendo il ricorso alle Stazioni Uniche Appaltanti Provinciali</w:t>
      </w:r>
      <w:r>
        <w:rPr>
          <w:rFonts w:asciiTheme="minorHAnsi" w:hAnsiTheme="minorHAnsi" w:cstheme="minorHAnsi"/>
        </w:rPr>
        <w:t>.</w:t>
      </w:r>
    </w:p>
    <w:p w14:paraId="035C9676" w14:textId="21B2088E" w:rsidR="00695F22" w:rsidRDefault="00695F22" w:rsidP="00695F22">
      <w:pPr>
        <w:pStyle w:val="Paragrafoelenco"/>
        <w:ind w:left="420"/>
        <w:jc w:val="both"/>
        <w:rPr>
          <w:rFonts w:asciiTheme="minorHAnsi" w:hAnsiTheme="minorHAnsi" w:cstheme="minorHAnsi"/>
        </w:rPr>
      </w:pPr>
    </w:p>
    <w:p w14:paraId="3D5FC302" w14:textId="77777777" w:rsidR="00C520DF" w:rsidRDefault="00730805" w:rsidP="00CF4E5E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 w:rsidRPr="005F47EC">
        <w:rPr>
          <w:rFonts w:asciiTheme="minorHAnsi" w:eastAsia="Calibri" w:hAnsiTheme="minorHAnsi" w:cstheme="minorHAnsi"/>
          <w:lang w:eastAsia="it-IT"/>
        </w:rPr>
        <w:t xml:space="preserve">In questo contesto, la proposta che l’Unione delle Province d’Italia intende presentare </w:t>
      </w:r>
      <w:r w:rsidR="00C37A2F">
        <w:rPr>
          <w:rFonts w:asciiTheme="minorHAnsi" w:eastAsia="Calibri" w:hAnsiTheme="minorHAnsi" w:cstheme="minorHAnsi"/>
          <w:lang w:eastAsia="it-IT"/>
        </w:rPr>
        <w:t xml:space="preserve">si </w:t>
      </w:r>
      <w:r w:rsidR="00CF4E5E">
        <w:rPr>
          <w:rFonts w:asciiTheme="minorHAnsi" w:eastAsia="Calibri" w:hAnsiTheme="minorHAnsi" w:cstheme="minorHAnsi"/>
          <w:lang w:eastAsia="it-IT"/>
        </w:rPr>
        <w:t>articola in</w:t>
      </w:r>
      <w:r w:rsidR="00C37A2F">
        <w:rPr>
          <w:rFonts w:asciiTheme="minorHAnsi" w:eastAsia="Calibri" w:hAnsiTheme="minorHAnsi" w:cstheme="minorHAnsi"/>
          <w:lang w:eastAsia="it-IT"/>
        </w:rPr>
        <w:t xml:space="preserve"> </w:t>
      </w:r>
      <w:r w:rsidR="00CF4E5E">
        <w:rPr>
          <w:rFonts w:asciiTheme="minorHAnsi" w:eastAsia="Calibri" w:hAnsiTheme="minorHAnsi" w:cstheme="minorHAnsi"/>
          <w:lang w:eastAsia="it-IT"/>
        </w:rPr>
        <w:t xml:space="preserve">una serie di interventi sperimentali rivolti alle Aree Interne di alcune Province Pilota, cui si aggiunge un’azione trasversale svolta da UPI stessa a favore </w:t>
      </w:r>
      <w:r w:rsidR="00C520DF">
        <w:rPr>
          <w:rFonts w:asciiTheme="minorHAnsi" w:eastAsia="Calibri" w:hAnsiTheme="minorHAnsi" w:cstheme="minorHAnsi"/>
          <w:lang w:eastAsia="it-IT"/>
        </w:rPr>
        <w:t>delle</w:t>
      </w:r>
      <w:r w:rsidR="00CF4E5E">
        <w:rPr>
          <w:rFonts w:asciiTheme="minorHAnsi" w:eastAsia="Calibri" w:hAnsiTheme="minorHAnsi" w:cstheme="minorHAnsi"/>
          <w:lang w:eastAsia="it-IT"/>
        </w:rPr>
        <w:t xml:space="preserve"> Province</w:t>
      </w:r>
      <w:r w:rsidR="00C520DF">
        <w:rPr>
          <w:rFonts w:asciiTheme="minorHAnsi" w:eastAsia="Calibri" w:hAnsiTheme="minorHAnsi" w:cstheme="minorHAnsi"/>
          <w:lang w:eastAsia="it-IT"/>
        </w:rPr>
        <w:t xml:space="preserve"> coinvolte</w:t>
      </w:r>
      <w:r w:rsidR="00CF4E5E">
        <w:rPr>
          <w:rFonts w:asciiTheme="minorHAnsi" w:eastAsia="Calibri" w:hAnsiTheme="minorHAnsi" w:cstheme="minorHAnsi"/>
          <w:lang w:eastAsia="it-IT"/>
        </w:rPr>
        <w:t xml:space="preserve">. Facendo leva sul </w:t>
      </w:r>
      <w:r w:rsidRPr="005F47EC">
        <w:rPr>
          <w:rFonts w:asciiTheme="minorHAnsi" w:eastAsia="Calibri" w:hAnsiTheme="minorHAnsi" w:cstheme="minorHAnsi"/>
          <w:lang w:eastAsia="it-IT"/>
        </w:rPr>
        <w:t xml:space="preserve">ruolo attribuito </w:t>
      </w:r>
      <w:r w:rsidR="00CF4E5E">
        <w:rPr>
          <w:rFonts w:asciiTheme="minorHAnsi" w:eastAsia="Calibri" w:hAnsiTheme="minorHAnsi" w:cstheme="minorHAnsi"/>
          <w:lang w:eastAsia="it-IT"/>
        </w:rPr>
        <w:t xml:space="preserve">alle Province </w:t>
      </w:r>
      <w:r w:rsidRPr="005F47EC">
        <w:rPr>
          <w:rFonts w:asciiTheme="minorHAnsi" w:eastAsia="Calibri" w:hAnsiTheme="minorHAnsi" w:cstheme="minorHAnsi"/>
          <w:lang w:eastAsia="it-IT"/>
        </w:rPr>
        <w:t xml:space="preserve">dalla Legge 56/14 di supporto ai Comuni del territorio, </w:t>
      </w:r>
      <w:r w:rsidR="00CF4E5E">
        <w:rPr>
          <w:rFonts w:asciiTheme="minorHAnsi" w:eastAsia="Calibri" w:hAnsiTheme="minorHAnsi" w:cstheme="minorHAnsi"/>
          <w:lang w:eastAsia="it-IT"/>
        </w:rPr>
        <w:t xml:space="preserve">si intende </w:t>
      </w:r>
      <w:r w:rsidRPr="005F47EC">
        <w:rPr>
          <w:rFonts w:asciiTheme="minorHAnsi" w:eastAsia="Calibri" w:hAnsiTheme="minorHAnsi" w:cstheme="minorHAnsi"/>
          <w:lang w:eastAsia="it-IT"/>
        </w:rPr>
        <w:t>assicura</w:t>
      </w:r>
      <w:r w:rsidR="00CF4E5E">
        <w:rPr>
          <w:rFonts w:asciiTheme="minorHAnsi" w:eastAsia="Calibri" w:hAnsiTheme="minorHAnsi" w:cstheme="minorHAnsi"/>
          <w:lang w:eastAsia="it-IT"/>
        </w:rPr>
        <w:t>re</w:t>
      </w:r>
      <w:r w:rsidRPr="005F47EC">
        <w:rPr>
          <w:rFonts w:asciiTheme="minorHAnsi" w:eastAsia="Calibri" w:hAnsiTheme="minorHAnsi" w:cstheme="minorHAnsi"/>
          <w:lang w:eastAsia="it-IT"/>
        </w:rPr>
        <w:t xml:space="preserve"> una gestione integrata degli interventi nelle Aree Interne</w:t>
      </w:r>
      <w:r w:rsidR="00C520DF">
        <w:rPr>
          <w:rFonts w:asciiTheme="minorHAnsi" w:eastAsia="Calibri" w:hAnsiTheme="minorHAnsi" w:cstheme="minorHAnsi"/>
          <w:lang w:eastAsia="it-IT"/>
        </w:rPr>
        <w:t xml:space="preserve"> e marginali</w:t>
      </w:r>
      <w:r w:rsidR="00CF4E5E">
        <w:rPr>
          <w:rFonts w:asciiTheme="minorHAnsi" w:eastAsia="Calibri" w:hAnsiTheme="minorHAnsi" w:cstheme="minorHAnsi"/>
          <w:lang w:eastAsia="it-IT"/>
        </w:rPr>
        <w:t>,</w:t>
      </w:r>
      <w:r w:rsidRPr="005F47EC">
        <w:rPr>
          <w:rFonts w:asciiTheme="minorHAnsi" w:eastAsia="Calibri" w:hAnsiTheme="minorHAnsi" w:cstheme="minorHAnsi"/>
          <w:lang w:eastAsia="it-IT"/>
        </w:rPr>
        <w:t xml:space="preserve"> </w:t>
      </w:r>
      <w:r w:rsidR="00C520DF">
        <w:rPr>
          <w:rFonts w:asciiTheme="minorHAnsi" w:eastAsia="Calibri" w:hAnsiTheme="minorHAnsi" w:cstheme="minorHAnsi"/>
          <w:lang w:eastAsia="it-IT"/>
        </w:rPr>
        <w:t>coordinata con</w:t>
      </w:r>
      <w:r w:rsidRPr="005F47EC">
        <w:rPr>
          <w:rFonts w:asciiTheme="minorHAnsi" w:eastAsia="Calibri" w:hAnsiTheme="minorHAnsi" w:cstheme="minorHAnsi"/>
          <w:lang w:eastAsia="it-IT"/>
        </w:rPr>
        <w:t xml:space="preserve"> le politiche di sviluppo locale a loro destinate. </w:t>
      </w:r>
    </w:p>
    <w:p w14:paraId="44412380" w14:textId="77777777" w:rsidR="00C520DF" w:rsidRDefault="00C520DF" w:rsidP="00CF4E5E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p w14:paraId="0CB95564" w14:textId="59A9464F" w:rsidR="005F47EC" w:rsidRDefault="009E108E" w:rsidP="00CF4E5E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>
        <w:rPr>
          <w:rFonts w:asciiTheme="minorHAnsi" w:eastAsia="Calibri" w:hAnsiTheme="minorHAnsi" w:cstheme="minorHAnsi"/>
          <w:lang w:eastAsia="it-IT"/>
        </w:rPr>
        <w:t>L</w:t>
      </w:r>
      <w:r w:rsidRPr="005F47EC">
        <w:rPr>
          <w:rFonts w:asciiTheme="minorHAnsi" w:eastAsia="Calibri" w:hAnsiTheme="minorHAnsi" w:cstheme="minorHAnsi"/>
          <w:lang w:eastAsia="it-IT"/>
        </w:rPr>
        <w:t xml:space="preserve">’obiettivo </w:t>
      </w:r>
      <w:r>
        <w:rPr>
          <w:rFonts w:asciiTheme="minorHAnsi" w:eastAsia="Calibri" w:hAnsiTheme="minorHAnsi" w:cstheme="minorHAnsi"/>
          <w:lang w:eastAsia="it-IT"/>
        </w:rPr>
        <w:t>individuato è</w:t>
      </w:r>
      <w:r w:rsidR="00C520DF">
        <w:rPr>
          <w:rFonts w:asciiTheme="minorHAnsi" w:eastAsia="Calibri" w:hAnsiTheme="minorHAnsi" w:cstheme="minorHAnsi"/>
          <w:lang w:eastAsia="it-IT"/>
        </w:rPr>
        <w:t xml:space="preserve">, quindi, </w:t>
      </w:r>
      <w:r>
        <w:rPr>
          <w:rFonts w:asciiTheme="minorHAnsi" w:eastAsia="Calibri" w:hAnsiTheme="minorHAnsi" w:cstheme="minorHAnsi"/>
          <w:lang w:eastAsia="it-IT"/>
        </w:rPr>
        <w:t xml:space="preserve">quello </w:t>
      </w:r>
      <w:r w:rsidRPr="005F47EC">
        <w:rPr>
          <w:rFonts w:asciiTheme="minorHAnsi" w:eastAsia="Calibri" w:hAnsiTheme="minorHAnsi" w:cstheme="minorHAnsi"/>
          <w:lang w:eastAsia="it-IT"/>
        </w:rPr>
        <w:t xml:space="preserve">di valorizzare il ruolo </w:t>
      </w:r>
      <w:r>
        <w:rPr>
          <w:rFonts w:asciiTheme="minorHAnsi" w:eastAsia="Calibri" w:hAnsiTheme="minorHAnsi" w:cstheme="minorHAnsi"/>
          <w:lang w:eastAsia="it-IT"/>
        </w:rPr>
        <w:t>d</w:t>
      </w:r>
      <w:r w:rsidRPr="005F47EC">
        <w:rPr>
          <w:rFonts w:asciiTheme="minorHAnsi" w:eastAsia="Calibri" w:hAnsiTheme="minorHAnsi" w:cstheme="minorHAnsi"/>
          <w:lang w:eastAsia="it-IT"/>
        </w:rPr>
        <w:t xml:space="preserve">elle Province in quanto istituzioni in grado di assicurare quella visione strategica necessaria per coordinare gli interventi in favore delle zone </w:t>
      </w:r>
      <w:r w:rsidR="00C520DF">
        <w:rPr>
          <w:rFonts w:asciiTheme="minorHAnsi" w:eastAsia="Calibri" w:hAnsiTheme="minorHAnsi" w:cstheme="minorHAnsi"/>
          <w:lang w:eastAsia="it-IT"/>
        </w:rPr>
        <w:t xml:space="preserve">più </w:t>
      </w:r>
      <w:r w:rsidRPr="005F47EC">
        <w:rPr>
          <w:rFonts w:asciiTheme="minorHAnsi" w:eastAsia="Calibri" w:hAnsiTheme="minorHAnsi" w:cstheme="minorHAnsi"/>
          <w:lang w:eastAsia="it-IT"/>
        </w:rPr>
        <w:t xml:space="preserve">periferiche, realizzare politiche strutturate ed incisive </w:t>
      </w:r>
      <w:r w:rsidR="00C520DF">
        <w:rPr>
          <w:rFonts w:asciiTheme="minorHAnsi" w:eastAsia="Calibri" w:hAnsiTheme="minorHAnsi" w:cstheme="minorHAnsi"/>
          <w:lang w:eastAsia="it-IT"/>
        </w:rPr>
        <w:t xml:space="preserve">che tengano conto delle problematiche delle Aree Interne e marginali </w:t>
      </w:r>
      <w:r w:rsidRPr="005F47EC">
        <w:rPr>
          <w:rFonts w:asciiTheme="minorHAnsi" w:eastAsia="Calibri" w:hAnsiTheme="minorHAnsi" w:cstheme="minorHAnsi"/>
          <w:lang w:eastAsia="it-IT"/>
        </w:rPr>
        <w:t>e produrre</w:t>
      </w:r>
      <w:r w:rsidR="00C520DF">
        <w:rPr>
          <w:rFonts w:asciiTheme="minorHAnsi" w:eastAsia="Calibri" w:hAnsiTheme="minorHAnsi" w:cstheme="minorHAnsi"/>
          <w:lang w:eastAsia="it-IT"/>
        </w:rPr>
        <w:t xml:space="preserve">, </w:t>
      </w:r>
      <w:r w:rsidRPr="005F47EC">
        <w:rPr>
          <w:rFonts w:asciiTheme="minorHAnsi" w:eastAsia="Calibri" w:hAnsiTheme="minorHAnsi" w:cstheme="minorHAnsi"/>
          <w:lang w:eastAsia="it-IT"/>
        </w:rPr>
        <w:t xml:space="preserve">nei tempi rapidi necessari all’attuazione del </w:t>
      </w:r>
      <w:r w:rsidR="00C520DF">
        <w:rPr>
          <w:rFonts w:asciiTheme="minorHAnsi" w:eastAsia="Calibri" w:hAnsiTheme="minorHAnsi" w:cstheme="minorHAnsi"/>
          <w:lang w:eastAsia="it-IT"/>
        </w:rPr>
        <w:t>P</w:t>
      </w:r>
      <w:r w:rsidRPr="005F47EC">
        <w:rPr>
          <w:rFonts w:asciiTheme="minorHAnsi" w:eastAsia="Calibri" w:hAnsiTheme="minorHAnsi" w:cstheme="minorHAnsi"/>
          <w:lang w:eastAsia="it-IT"/>
        </w:rPr>
        <w:t>iano</w:t>
      </w:r>
      <w:r w:rsidR="00C520DF">
        <w:rPr>
          <w:rFonts w:asciiTheme="minorHAnsi" w:eastAsia="Calibri" w:hAnsiTheme="minorHAnsi" w:cstheme="minorHAnsi"/>
          <w:lang w:eastAsia="it-IT"/>
        </w:rPr>
        <w:t xml:space="preserve"> nazionale</w:t>
      </w:r>
      <w:r w:rsidRPr="005F47EC">
        <w:rPr>
          <w:rFonts w:asciiTheme="minorHAnsi" w:eastAsia="Calibri" w:hAnsiTheme="minorHAnsi" w:cstheme="minorHAnsi"/>
          <w:lang w:eastAsia="it-IT"/>
        </w:rPr>
        <w:t>, un vero cambiamento</w:t>
      </w:r>
      <w:r w:rsidR="00DF061F">
        <w:rPr>
          <w:rFonts w:asciiTheme="minorHAnsi" w:eastAsia="Calibri" w:hAnsiTheme="minorHAnsi" w:cstheme="minorHAnsi"/>
          <w:lang w:eastAsia="it-IT"/>
        </w:rPr>
        <w:t>.</w:t>
      </w:r>
    </w:p>
    <w:p w14:paraId="13DD7C3C" w14:textId="77777777" w:rsidR="00321328" w:rsidRDefault="00321328" w:rsidP="00730805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p w14:paraId="3378472F" w14:textId="5D7EC246" w:rsidR="00645B1C" w:rsidRPr="005F47EC" w:rsidRDefault="001F74FD" w:rsidP="00645B1C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>
        <w:rPr>
          <w:rFonts w:asciiTheme="minorHAnsi" w:eastAsia="Calibri" w:hAnsiTheme="minorHAnsi" w:cstheme="minorHAnsi"/>
          <w:lang w:eastAsia="it-IT"/>
        </w:rPr>
        <w:t>Riteniamo</w:t>
      </w:r>
      <w:r w:rsidR="00321328" w:rsidRPr="009E108E">
        <w:rPr>
          <w:rFonts w:asciiTheme="minorHAnsi" w:eastAsia="Calibri" w:hAnsiTheme="minorHAnsi" w:cstheme="minorHAnsi"/>
          <w:lang w:eastAsia="it-IT"/>
        </w:rPr>
        <w:t xml:space="preserve">, infatti, che la logica delle Aree Interne vada condivisa nell’ambito di un </w:t>
      </w:r>
      <w:r w:rsidR="00321328" w:rsidRPr="009E108E">
        <w:rPr>
          <w:rFonts w:asciiTheme="minorHAnsi" w:eastAsia="Calibri" w:hAnsiTheme="minorHAnsi" w:cstheme="minorHAnsi"/>
          <w:b/>
          <w:bCs/>
          <w:lang w:eastAsia="it-IT"/>
        </w:rPr>
        <w:t xml:space="preserve">Modello provinciale di supporto ai Comuni </w:t>
      </w:r>
      <w:r w:rsidR="00321328" w:rsidRPr="009E108E">
        <w:rPr>
          <w:rFonts w:asciiTheme="minorHAnsi" w:eastAsia="Calibri" w:hAnsiTheme="minorHAnsi" w:cstheme="minorHAnsi"/>
          <w:lang w:eastAsia="it-IT"/>
        </w:rPr>
        <w:t>come volano per la valorizzazione delle aree interessate.</w:t>
      </w:r>
      <w:r w:rsidR="00645B1C">
        <w:rPr>
          <w:rFonts w:asciiTheme="minorHAnsi" w:eastAsia="Calibri" w:hAnsiTheme="minorHAnsi" w:cstheme="minorHAnsi"/>
          <w:lang w:eastAsia="it-IT"/>
        </w:rPr>
        <w:t xml:space="preserve"> U</w:t>
      </w:r>
      <w:r w:rsidR="00645B1C" w:rsidRPr="005F47EC">
        <w:rPr>
          <w:rFonts w:asciiTheme="minorHAnsi" w:eastAsia="Calibri" w:hAnsiTheme="minorHAnsi" w:cstheme="minorHAnsi"/>
          <w:lang w:eastAsia="it-IT"/>
        </w:rPr>
        <w:t xml:space="preserve">n </w:t>
      </w:r>
      <w:r w:rsidR="00BE2ECE">
        <w:rPr>
          <w:rFonts w:asciiTheme="minorHAnsi" w:eastAsia="Calibri" w:hAnsiTheme="minorHAnsi" w:cstheme="minorHAnsi"/>
          <w:lang w:eastAsia="it-IT"/>
        </w:rPr>
        <w:t xml:space="preserve">tale </w:t>
      </w:r>
      <w:r w:rsidR="00645B1C" w:rsidRPr="005F47EC">
        <w:rPr>
          <w:rFonts w:asciiTheme="minorHAnsi" w:eastAsia="Calibri" w:hAnsiTheme="minorHAnsi" w:cstheme="minorHAnsi"/>
          <w:lang w:eastAsia="it-IT"/>
        </w:rPr>
        <w:t xml:space="preserve">modello di </w:t>
      </w:r>
      <w:r w:rsidR="00645B1C" w:rsidRPr="00645B1C">
        <w:rPr>
          <w:rFonts w:asciiTheme="minorHAnsi" w:eastAsia="Calibri" w:hAnsiTheme="minorHAnsi" w:cstheme="minorHAnsi"/>
          <w:b/>
          <w:bCs/>
          <w:lang w:eastAsia="it-IT"/>
        </w:rPr>
        <w:t>governance multilivello</w:t>
      </w:r>
      <w:r w:rsidR="00645B1C" w:rsidRPr="005F47EC">
        <w:rPr>
          <w:rFonts w:asciiTheme="minorHAnsi" w:eastAsia="Calibri" w:hAnsiTheme="minorHAnsi" w:cstheme="minorHAnsi"/>
          <w:lang w:eastAsia="it-IT"/>
        </w:rPr>
        <w:t>, basato su una strategia partecipata d</w:t>
      </w:r>
      <w:r w:rsidR="00C520DF">
        <w:rPr>
          <w:rFonts w:asciiTheme="minorHAnsi" w:eastAsia="Calibri" w:hAnsiTheme="minorHAnsi" w:cstheme="minorHAnsi"/>
          <w:lang w:eastAsia="it-IT"/>
        </w:rPr>
        <w:t>a</w:t>
      </w:r>
      <w:r w:rsidR="00645B1C" w:rsidRPr="005F47EC">
        <w:rPr>
          <w:rFonts w:asciiTheme="minorHAnsi" w:eastAsia="Calibri" w:hAnsiTheme="minorHAnsi" w:cstheme="minorHAnsi"/>
          <w:lang w:eastAsia="it-IT"/>
        </w:rPr>
        <w:t>lla pluralità dei soggetti presenti nelle Aree Interne</w:t>
      </w:r>
      <w:r w:rsidR="00C520DF">
        <w:rPr>
          <w:rFonts w:asciiTheme="minorHAnsi" w:eastAsia="Calibri" w:hAnsiTheme="minorHAnsi" w:cstheme="minorHAnsi"/>
          <w:lang w:eastAsia="it-IT"/>
        </w:rPr>
        <w:t xml:space="preserve"> e marginali</w:t>
      </w:r>
      <w:r w:rsidR="00BE2ECE">
        <w:rPr>
          <w:rFonts w:asciiTheme="minorHAnsi" w:eastAsia="Calibri" w:hAnsiTheme="minorHAnsi" w:cstheme="minorHAnsi"/>
          <w:lang w:eastAsia="it-IT"/>
        </w:rPr>
        <w:t>, risulta</w:t>
      </w:r>
      <w:r w:rsidR="00645B1C" w:rsidRPr="005F47EC">
        <w:rPr>
          <w:rFonts w:asciiTheme="minorHAnsi" w:eastAsia="Calibri" w:hAnsiTheme="minorHAnsi" w:cstheme="minorHAnsi"/>
          <w:lang w:eastAsia="it-IT"/>
        </w:rPr>
        <w:t xml:space="preserve"> cruciale per assicurare investimenti nei servizi pubblici essenziali, nella digitalizzazione e nella sostenibilità </w:t>
      </w:r>
      <w:r w:rsidR="00C520DF">
        <w:rPr>
          <w:rFonts w:asciiTheme="minorHAnsi" w:eastAsia="Calibri" w:hAnsiTheme="minorHAnsi" w:cstheme="minorHAnsi"/>
          <w:lang w:eastAsia="it-IT"/>
        </w:rPr>
        <w:t>dei territori,</w:t>
      </w:r>
      <w:r w:rsidR="00BE2ECE">
        <w:rPr>
          <w:rFonts w:asciiTheme="minorHAnsi" w:eastAsia="Calibri" w:hAnsiTheme="minorHAnsi" w:cstheme="minorHAnsi"/>
          <w:lang w:eastAsia="it-IT"/>
        </w:rPr>
        <w:t xml:space="preserve"> migliorandone</w:t>
      </w:r>
      <w:r w:rsidR="00645B1C" w:rsidRPr="005F47EC">
        <w:rPr>
          <w:rFonts w:asciiTheme="minorHAnsi" w:eastAsia="Calibri" w:hAnsiTheme="minorHAnsi" w:cstheme="minorHAnsi"/>
          <w:lang w:eastAsia="it-IT"/>
        </w:rPr>
        <w:t xml:space="preserve"> la qualità della vita </w:t>
      </w:r>
      <w:r w:rsidR="00BE2ECE">
        <w:rPr>
          <w:rFonts w:asciiTheme="minorHAnsi" w:eastAsia="Calibri" w:hAnsiTheme="minorHAnsi" w:cstheme="minorHAnsi"/>
          <w:lang w:eastAsia="it-IT"/>
        </w:rPr>
        <w:t xml:space="preserve">e </w:t>
      </w:r>
      <w:r w:rsidR="00645B1C" w:rsidRPr="005F47EC">
        <w:rPr>
          <w:rFonts w:asciiTheme="minorHAnsi" w:eastAsia="Calibri" w:hAnsiTheme="minorHAnsi" w:cstheme="minorHAnsi"/>
          <w:lang w:eastAsia="it-IT"/>
        </w:rPr>
        <w:t>rendendol</w:t>
      </w:r>
      <w:r w:rsidR="00C520DF">
        <w:rPr>
          <w:rFonts w:asciiTheme="minorHAnsi" w:eastAsia="Calibri" w:hAnsiTheme="minorHAnsi" w:cstheme="minorHAnsi"/>
          <w:lang w:eastAsia="it-IT"/>
        </w:rPr>
        <w:t>i</w:t>
      </w:r>
      <w:r w:rsidR="00645B1C" w:rsidRPr="005F47EC">
        <w:rPr>
          <w:rFonts w:asciiTheme="minorHAnsi" w:eastAsia="Calibri" w:hAnsiTheme="minorHAnsi" w:cstheme="minorHAnsi"/>
          <w:lang w:eastAsia="it-IT"/>
        </w:rPr>
        <w:t xml:space="preserve"> più attrattiv</w:t>
      </w:r>
      <w:r w:rsidR="00C520DF">
        <w:rPr>
          <w:rFonts w:asciiTheme="minorHAnsi" w:eastAsia="Calibri" w:hAnsiTheme="minorHAnsi" w:cstheme="minorHAnsi"/>
          <w:lang w:eastAsia="it-IT"/>
        </w:rPr>
        <w:t>i</w:t>
      </w:r>
      <w:r w:rsidR="00645B1C" w:rsidRPr="005F47EC">
        <w:rPr>
          <w:rFonts w:asciiTheme="minorHAnsi" w:eastAsia="Calibri" w:hAnsiTheme="minorHAnsi" w:cstheme="minorHAnsi"/>
          <w:lang w:eastAsia="it-IT"/>
        </w:rPr>
        <w:t xml:space="preserve"> e resilienti. </w:t>
      </w:r>
    </w:p>
    <w:p w14:paraId="376832F9" w14:textId="77777777" w:rsidR="00645B1C" w:rsidRDefault="00645B1C" w:rsidP="00321328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p w14:paraId="1B9D7C69" w14:textId="31205649" w:rsidR="00321328" w:rsidRDefault="009E108E" w:rsidP="00321328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 w:rsidRPr="009E108E">
        <w:rPr>
          <w:rFonts w:asciiTheme="minorHAnsi" w:eastAsia="Calibri" w:hAnsiTheme="minorHAnsi" w:cstheme="minorHAnsi"/>
          <w:lang w:eastAsia="it-IT"/>
        </w:rPr>
        <w:t xml:space="preserve">La direzione di marcia che si intende, pertanto, intraprendere è quella che vede </w:t>
      </w:r>
      <w:r w:rsidRPr="009E108E">
        <w:rPr>
          <w:rFonts w:asciiTheme="minorHAnsi" w:eastAsia="Calibri" w:hAnsiTheme="minorHAnsi" w:cstheme="minorHAnsi"/>
          <w:b/>
          <w:bCs/>
          <w:lang w:eastAsia="it-IT"/>
        </w:rPr>
        <w:t xml:space="preserve">la Provincia come un hub </w:t>
      </w:r>
      <w:r w:rsidR="00645B1C">
        <w:rPr>
          <w:rFonts w:asciiTheme="minorHAnsi" w:eastAsia="Calibri" w:hAnsiTheme="minorHAnsi" w:cstheme="minorHAnsi"/>
          <w:b/>
          <w:bCs/>
          <w:lang w:eastAsia="it-IT"/>
        </w:rPr>
        <w:t xml:space="preserve">al fianco dei Comuni </w:t>
      </w:r>
      <w:r w:rsidRPr="009E108E">
        <w:rPr>
          <w:rFonts w:asciiTheme="minorHAnsi" w:eastAsia="Calibri" w:hAnsiTheme="minorHAnsi" w:cstheme="minorHAnsi"/>
          <w:b/>
          <w:bCs/>
          <w:lang w:eastAsia="it-IT"/>
        </w:rPr>
        <w:t>per l’attuazione del Piano</w:t>
      </w:r>
      <w:r w:rsidRPr="009E108E">
        <w:rPr>
          <w:rFonts w:asciiTheme="minorHAnsi" w:eastAsia="Calibri" w:hAnsiTheme="minorHAnsi" w:cstheme="minorHAnsi"/>
          <w:lang w:eastAsia="it-IT"/>
        </w:rPr>
        <w:t>, come un ente in grado di fornire supporto operativo ai Comuni per programmare gli investimenti</w:t>
      </w:r>
      <w:r w:rsidR="00BE2ECE">
        <w:rPr>
          <w:rFonts w:asciiTheme="minorHAnsi" w:eastAsia="Calibri" w:hAnsiTheme="minorHAnsi" w:cstheme="minorHAnsi"/>
          <w:lang w:eastAsia="it-IT"/>
        </w:rPr>
        <w:t xml:space="preserve">, </w:t>
      </w:r>
      <w:r w:rsidR="00BE2ECE" w:rsidRPr="009E108E">
        <w:rPr>
          <w:rFonts w:asciiTheme="minorHAnsi" w:eastAsia="Calibri" w:hAnsiTheme="minorHAnsi" w:cstheme="minorHAnsi"/>
          <w:lang w:eastAsia="it-IT"/>
        </w:rPr>
        <w:t>nella messa a terra delle opere</w:t>
      </w:r>
      <w:r w:rsidRPr="009E108E">
        <w:rPr>
          <w:rFonts w:asciiTheme="minorHAnsi" w:eastAsia="Calibri" w:hAnsiTheme="minorHAnsi" w:cstheme="minorHAnsi"/>
          <w:lang w:eastAsia="it-IT"/>
        </w:rPr>
        <w:t xml:space="preserve"> </w:t>
      </w:r>
      <w:r w:rsidR="00BE2ECE">
        <w:rPr>
          <w:rFonts w:asciiTheme="minorHAnsi" w:eastAsia="Calibri" w:hAnsiTheme="minorHAnsi" w:cstheme="minorHAnsi"/>
          <w:lang w:eastAsia="it-IT"/>
        </w:rPr>
        <w:t xml:space="preserve">e </w:t>
      </w:r>
      <w:r w:rsidRPr="009E108E">
        <w:rPr>
          <w:rFonts w:asciiTheme="minorHAnsi" w:eastAsia="Calibri" w:hAnsiTheme="minorHAnsi" w:cstheme="minorHAnsi"/>
          <w:lang w:eastAsia="it-IT"/>
        </w:rPr>
        <w:t>per monitorare l’efficacia degli stessi</w:t>
      </w:r>
      <w:r w:rsidR="00645B1C">
        <w:rPr>
          <w:rFonts w:asciiTheme="minorHAnsi" w:eastAsia="Calibri" w:hAnsiTheme="minorHAnsi" w:cstheme="minorHAnsi"/>
          <w:lang w:eastAsia="it-IT"/>
        </w:rPr>
        <w:t xml:space="preserve">. La Provincia diviene il soggetto che </w:t>
      </w:r>
      <w:r w:rsidR="00C520DF">
        <w:rPr>
          <w:rFonts w:asciiTheme="minorHAnsi" w:eastAsia="Calibri" w:hAnsiTheme="minorHAnsi" w:cstheme="minorHAnsi"/>
          <w:lang w:eastAsia="it-IT"/>
        </w:rPr>
        <w:t>sostiene</w:t>
      </w:r>
      <w:r w:rsidR="00645B1C" w:rsidRPr="00645B1C">
        <w:rPr>
          <w:rFonts w:asciiTheme="minorHAnsi" w:eastAsia="Calibri" w:hAnsiTheme="minorHAnsi" w:cstheme="minorHAnsi"/>
          <w:lang w:eastAsia="it-IT"/>
        </w:rPr>
        <w:t xml:space="preserve"> l’attuazione di strategie territoriali orientate alla valorizzazione delle aree più fragili</w:t>
      </w:r>
      <w:r w:rsidRPr="00645B1C">
        <w:rPr>
          <w:rFonts w:asciiTheme="minorHAnsi" w:eastAsia="Calibri" w:hAnsiTheme="minorHAnsi" w:cstheme="minorHAnsi"/>
          <w:lang w:eastAsia="it-IT"/>
        </w:rPr>
        <w:t>. Questo, con lo scopo di costruire politiche di sviluppo integrate, strutturate ed incisive, evitando interventi disallineati</w:t>
      </w:r>
      <w:r w:rsidRPr="009E108E">
        <w:rPr>
          <w:rFonts w:asciiTheme="minorHAnsi" w:eastAsia="Calibri" w:hAnsiTheme="minorHAnsi" w:cstheme="minorHAnsi"/>
          <w:lang w:eastAsia="it-IT"/>
        </w:rPr>
        <w:t xml:space="preserve"> che non producono un vero cambiamento sui territori.</w:t>
      </w:r>
    </w:p>
    <w:p w14:paraId="2E124120" w14:textId="77777777" w:rsidR="000915BA" w:rsidRDefault="000915BA" w:rsidP="00321328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p w14:paraId="01389F52" w14:textId="6B705713" w:rsidR="000915BA" w:rsidRPr="005F47EC" w:rsidRDefault="001F74FD" w:rsidP="000915BA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>
        <w:rPr>
          <w:rFonts w:asciiTheme="minorHAnsi" w:eastAsia="Calibri" w:hAnsiTheme="minorHAnsi" w:cstheme="minorHAnsi"/>
          <w:lang w:eastAsia="it-IT"/>
        </w:rPr>
        <w:t>Auspichiamo in tal modo il raggiungimento dei seguenti risultati</w:t>
      </w:r>
      <w:r w:rsidR="000915BA" w:rsidRPr="005F47EC">
        <w:rPr>
          <w:rFonts w:asciiTheme="minorHAnsi" w:eastAsia="Calibri" w:hAnsiTheme="minorHAnsi" w:cstheme="minorHAnsi"/>
          <w:lang w:eastAsia="it-IT"/>
        </w:rPr>
        <w:t xml:space="preserve">: </w:t>
      </w:r>
    </w:p>
    <w:p w14:paraId="7444BA45" w14:textId="680D16FE" w:rsidR="000915BA" w:rsidRPr="005F47EC" w:rsidRDefault="000915BA" w:rsidP="000915BA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 w:rsidRPr="005F47EC">
        <w:rPr>
          <w:rFonts w:asciiTheme="minorHAnsi" w:eastAsia="Calibri" w:hAnsiTheme="minorHAnsi" w:cstheme="minorHAnsi"/>
          <w:lang w:eastAsia="it-IT"/>
        </w:rPr>
        <w:t>-</w:t>
      </w:r>
      <w:r w:rsidRPr="005F47EC">
        <w:rPr>
          <w:rFonts w:asciiTheme="minorHAnsi" w:eastAsia="Calibri" w:hAnsiTheme="minorHAnsi" w:cstheme="minorHAnsi"/>
          <w:lang w:eastAsia="it-IT"/>
        </w:rPr>
        <w:tab/>
      </w:r>
      <w:r w:rsidR="001F74FD">
        <w:rPr>
          <w:rFonts w:asciiTheme="minorHAnsi" w:eastAsia="Calibri" w:hAnsiTheme="minorHAnsi" w:cstheme="minorHAnsi"/>
          <w:lang w:eastAsia="it-IT"/>
        </w:rPr>
        <w:t xml:space="preserve">una </w:t>
      </w:r>
      <w:r w:rsidRPr="005F47EC">
        <w:rPr>
          <w:rFonts w:asciiTheme="minorHAnsi" w:eastAsia="Calibri" w:hAnsiTheme="minorHAnsi" w:cstheme="minorHAnsi"/>
          <w:lang w:eastAsia="it-IT"/>
        </w:rPr>
        <w:t>maggiore capacità dei Comuni interni di partecipare attivamente alla programmazione territoriale e accedere alle risorse della SNAI;</w:t>
      </w:r>
    </w:p>
    <w:p w14:paraId="0BAACCBA" w14:textId="660EC421" w:rsidR="000915BA" w:rsidRPr="005F47EC" w:rsidRDefault="000915BA" w:rsidP="000915BA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 w:rsidRPr="005F47EC">
        <w:rPr>
          <w:rFonts w:asciiTheme="minorHAnsi" w:eastAsia="Calibri" w:hAnsiTheme="minorHAnsi" w:cstheme="minorHAnsi"/>
          <w:lang w:eastAsia="it-IT"/>
        </w:rPr>
        <w:t>-</w:t>
      </w:r>
      <w:r w:rsidRPr="005F47EC">
        <w:rPr>
          <w:rFonts w:asciiTheme="minorHAnsi" w:eastAsia="Calibri" w:hAnsiTheme="minorHAnsi" w:cstheme="minorHAnsi"/>
          <w:lang w:eastAsia="it-IT"/>
        </w:rPr>
        <w:tab/>
      </w:r>
      <w:r w:rsidR="001F74FD">
        <w:rPr>
          <w:rFonts w:asciiTheme="minorHAnsi" w:eastAsia="Calibri" w:hAnsiTheme="minorHAnsi" w:cstheme="minorHAnsi"/>
          <w:lang w:eastAsia="it-IT"/>
        </w:rPr>
        <w:t xml:space="preserve">la </w:t>
      </w:r>
      <w:r w:rsidRPr="005F47EC">
        <w:rPr>
          <w:rFonts w:asciiTheme="minorHAnsi" w:eastAsia="Calibri" w:hAnsiTheme="minorHAnsi" w:cstheme="minorHAnsi"/>
          <w:lang w:eastAsia="it-IT"/>
        </w:rPr>
        <w:t xml:space="preserve">valorizzazione del capitale territoriale e sociale delle Aree interne per </w:t>
      </w:r>
      <w:r w:rsidR="00BE2ECE">
        <w:rPr>
          <w:rFonts w:asciiTheme="minorHAnsi" w:eastAsia="Calibri" w:hAnsiTheme="minorHAnsi" w:cstheme="minorHAnsi"/>
          <w:lang w:eastAsia="it-IT"/>
        </w:rPr>
        <w:t>r</w:t>
      </w:r>
      <w:r w:rsidRPr="005F47EC">
        <w:rPr>
          <w:rFonts w:asciiTheme="minorHAnsi" w:eastAsia="Calibri" w:hAnsiTheme="minorHAnsi" w:cstheme="minorHAnsi"/>
          <w:lang w:eastAsia="it-IT"/>
        </w:rPr>
        <w:t xml:space="preserve">enderle attrattive per </w:t>
      </w:r>
      <w:r w:rsidR="00BE2ECE">
        <w:rPr>
          <w:rFonts w:asciiTheme="minorHAnsi" w:eastAsia="Calibri" w:hAnsiTheme="minorHAnsi" w:cstheme="minorHAnsi"/>
          <w:lang w:eastAsia="it-IT"/>
        </w:rPr>
        <w:t xml:space="preserve">i </w:t>
      </w:r>
      <w:r w:rsidRPr="005F47EC">
        <w:rPr>
          <w:rFonts w:asciiTheme="minorHAnsi" w:eastAsia="Calibri" w:hAnsiTheme="minorHAnsi" w:cstheme="minorHAnsi"/>
          <w:lang w:eastAsia="it-IT"/>
        </w:rPr>
        <w:t>cittadini e</w:t>
      </w:r>
      <w:r w:rsidR="00BE2ECE">
        <w:rPr>
          <w:rFonts w:asciiTheme="minorHAnsi" w:eastAsia="Calibri" w:hAnsiTheme="minorHAnsi" w:cstheme="minorHAnsi"/>
          <w:lang w:eastAsia="it-IT"/>
        </w:rPr>
        <w:t xml:space="preserve"> le</w:t>
      </w:r>
      <w:r w:rsidRPr="005F47EC">
        <w:rPr>
          <w:rFonts w:asciiTheme="minorHAnsi" w:eastAsia="Calibri" w:hAnsiTheme="minorHAnsi" w:cstheme="minorHAnsi"/>
          <w:lang w:eastAsia="it-IT"/>
        </w:rPr>
        <w:t xml:space="preserve"> imprese; </w:t>
      </w:r>
    </w:p>
    <w:p w14:paraId="327CAA8D" w14:textId="5A0F3E5C" w:rsidR="000915BA" w:rsidRPr="005F47EC" w:rsidRDefault="000915BA" w:rsidP="000915BA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 w:rsidRPr="005F47EC">
        <w:rPr>
          <w:rFonts w:asciiTheme="minorHAnsi" w:eastAsia="Calibri" w:hAnsiTheme="minorHAnsi" w:cstheme="minorHAnsi"/>
          <w:lang w:eastAsia="it-IT"/>
        </w:rPr>
        <w:t>-</w:t>
      </w:r>
      <w:r w:rsidRPr="005F47EC">
        <w:rPr>
          <w:rFonts w:asciiTheme="minorHAnsi" w:eastAsia="Calibri" w:hAnsiTheme="minorHAnsi" w:cstheme="minorHAnsi"/>
          <w:lang w:eastAsia="it-IT"/>
        </w:rPr>
        <w:tab/>
      </w:r>
      <w:r w:rsidR="001F74FD">
        <w:rPr>
          <w:rFonts w:asciiTheme="minorHAnsi" w:eastAsia="Calibri" w:hAnsiTheme="minorHAnsi" w:cstheme="minorHAnsi"/>
          <w:lang w:eastAsia="it-IT"/>
        </w:rPr>
        <w:t xml:space="preserve">il </w:t>
      </w:r>
      <w:r w:rsidRPr="005F47EC">
        <w:rPr>
          <w:rFonts w:asciiTheme="minorHAnsi" w:eastAsia="Calibri" w:hAnsiTheme="minorHAnsi" w:cstheme="minorHAnsi"/>
          <w:lang w:eastAsia="it-IT"/>
        </w:rPr>
        <w:t xml:space="preserve">rafforzamento del ruolo delle Province come </w:t>
      </w:r>
      <w:r w:rsidR="00C520DF">
        <w:rPr>
          <w:rFonts w:asciiTheme="minorHAnsi" w:eastAsia="Calibri" w:hAnsiTheme="minorHAnsi" w:cstheme="minorHAnsi"/>
          <w:lang w:eastAsia="it-IT"/>
        </w:rPr>
        <w:t>hub per promuovere interventi a livello territoriale in cui coinvolgere i diversi attori interessati all’attuazione della SNAI, ma anche per le altre aree marginali non rientranti nella classificazione ufficiale</w:t>
      </w:r>
      <w:r w:rsidRPr="005F47EC">
        <w:rPr>
          <w:rFonts w:asciiTheme="minorHAnsi" w:eastAsia="Calibri" w:hAnsiTheme="minorHAnsi" w:cstheme="minorHAnsi"/>
          <w:lang w:eastAsia="it-IT"/>
        </w:rPr>
        <w:t xml:space="preserve">; </w:t>
      </w:r>
    </w:p>
    <w:p w14:paraId="73A7B8CA" w14:textId="5EDC49AF" w:rsidR="000915BA" w:rsidRPr="005F47EC" w:rsidRDefault="000915BA" w:rsidP="000915BA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 w:rsidRPr="005F47EC">
        <w:rPr>
          <w:rFonts w:asciiTheme="minorHAnsi" w:eastAsia="Calibri" w:hAnsiTheme="minorHAnsi" w:cstheme="minorHAnsi"/>
          <w:lang w:eastAsia="it-IT"/>
        </w:rPr>
        <w:t>-</w:t>
      </w:r>
      <w:r w:rsidRPr="005F47EC">
        <w:rPr>
          <w:rFonts w:asciiTheme="minorHAnsi" w:eastAsia="Calibri" w:hAnsiTheme="minorHAnsi" w:cstheme="minorHAnsi"/>
          <w:lang w:eastAsia="it-IT"/>
        </w:rPr>
        <w:tab/>
      </w:r>
      <w:r w:rsidR="001F74FD">
        <w:rPr>
          <w:rFonts w:asciiTheme="minorHAnsi" w:eastAsia="Calibri" w:hAnsiTheme="minorHAnsi" w:cstheme="minorHAnsi"/>
          <w:lang w:eastAsia="it-IT"/>
        </w:rPr>
        <w:t>l’</w:t>
      </w:r>
      <w:r w:rsidRPr="005F47EC">
        <w:rPr>
          <w:rFonts w:asciiTheme="minorHAnsi" w:eastAsia="Calibri" w:hAnsiTheme="minorHAnsi" w:cstheme="minorHAnsi"/>
          <w:lang w:eastAsia="it-IT"/>
        </w:rPr>
        <w:t>implementazione di modelli territoriali integrati e replicabili, capaci di unire prossimità e visione strategica multilivello</w:t>
      </w:r>
      <w:r w:rsidR="00C520DF">
        <w:rPr>
          <w:rFonts w:asciiTheme="minorHAnsi" w:eastAsia="Calibri" w:hAnsiTheme="minorHAnsi" w:cstheme="minorHAnsi"/>
          <w:lang w:eastAsia="it-IT"/>
        </w:rPr>
        <w:t>.</w:t>
      </w:r>
    </w:p>
    <w:p w14:paraId="046907DC" w14:textId="5C61E4FE" w:rsidR="000915BA" w:rsidRPr="005F47EC" w:rsidRDefault="000915BA" w:rsidP="000915BA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p w14:paraId="34604084" w14:textId="77777777" w:rsidR="000915BA" w:rsidRPr="005F47EC" w:rsidRDefault="000915BA" w:rsidP="00321328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p w14:paraId="16D09307" w14:textId="34218A82" w:rsidR="00730805" w:rsidRDefault="00DF061F" w:rsidP="00730805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  <w:r>
        <w:rPr>
          <w:rFonts w:asciiTheme="minorHAnsi" w:eastAsia="Calibri" w:hAnsiTheme="minorHAnsi" w:cstheme="minorHAnsi"/>
          <w:lang w:eastAsia="it-IT"/>
        </w:rPr>
        <w:lastRenderedPageBreak/>
        <w:t>R</w:t>
      </w:r>
      <w:r w:rsidR="001F74FD">
        <w:rPr>
          <w:rFonts w:asciiTheme="minorHAnsi" w:eastAsia="Calibri" w:hAnsiTheme="minorHAnsi" w:cstheme="minorHAnsi"/>
          <w:lang w:eastAsia="it-IT"/>
        </w:rPr>
        <w:t>eputiamo, a tal fine,</w:t>
      </w:r>
      <w:r>
        <w:rPr>
          <w:rFonts w:asciiTheme="minorHAnsi" w:eastAsia="Calibri" w:hAnsiTheme="minorHAnsi" w:cstheme="minorHAnsi"/>
          <w:lang w:eastAsia="it-IT"/>
        </w:rPr>
        <w:t xml:space="preserve"> necessario costruire un approccio integrato tra tutte le istituzioni interessate per </w:t>
      </w:r>
      <w:r w:rsidR="00730805" w:rsidRPr="005F47EC">
        <w:rPr>
          <w:rFonts w:asciiTheme="minorHAnsi" w:eastAsia="Calibri" w:hAnsiTheme="minorHAnsi" w:cstheme="minorHAnsi"/>
          <w:lang w:eastAsia="it-IT"/>
        </w:rPr>
        <w:t>cogliere le opportunità della SNAI, miglior</w:t>
      </w:r>
      <w:r>
        <w:rPr>
          <w:rFonts w:asciiTheme="minorHAnsi" w:eastAsia="Calibri" w:hAnsiTheme="minorHAnsi" w:cstheme="minorHAnsi"/>
          <w:lang w:eastAsia="it-IT"/>
        </w:rPr>
        <w:t>ando</w:t>
      </w:r>
      <w:r w:rsidR="00730805" w:rsidRPr="005F47EC">
        <w:rPr>
          <w:rFonts w:asciiTheme="minorHAnsi" w:eastAsia="Calibri" w:hAnsiTheme="minorHAnsi" w:cstheme="minorHAnsi"/>
          <w:lang w:eastAsia="it-IT"/>
        </w:rPr>
        <w:t xml:space="preserve"> l’efficienza e la funzionalità dei servizi offerti dagli enti locali e favor</w:t>
      </w:r>
      <w:r>
        <w:rPr>
          <w:rFonts w:asciiTheme="minorHAnsi" w:eastAsia="Calibri" w:hAnsiTheme="minorHAnsi" w:cstheme="minorHAnsi"/>
          <w:lang w:eastAsia="it-IT"/>
        </w:rPr>
        <w:t>endo</w:t>
      </w:r>
      <w:r w:rsidR="00730805" w:rsidRPr="005F47EC">
        <w:rPr>
          <w:rFonts w:asciiTheme="minorHAnsi" w:eastAsia="Calibri" w:hAnsiTheme="minorHAnsi" w:cstheme="minorHAnsi"/>
          <w:lang w:eastAsia="it-IT"/>
        </w:rPr>
        <w:t xml:space="preserve"> lo sviluppo socioeconomico dei territori. Il sistema delle Province si pone, pertanto, come </w:t>
      </w:r>
      <w:r w:rsidR="009F7DCC">
        <w:rPr>
          <w:rFonts w:asciiTheme="minorHAnsi" w:eastAsia="Calibri" w:hAnsiTheme="minorHAnsi" w:cstheme="minorHAnsi"/>
          <w:b/>
          <w:bCs/>
          <w:lang w:eastAsia="it-IT"/>
        </w:rPr>
        <w:t>snodo d</w:t>
      </w:r>
      <w:r w:rsidR="00730805" w:rsidRPr="00645B1C">
        <w:rPr>
          <w:rFonts w:asciiTheme="minorHAnsi" w:eastAsia="Calibri" w:hAnsiTheme="minorHAnsi" w:cstheme="minorHAnsi"/>
          <w:b/>
          <w:bCs/>
          <w:lang w:eastAsia="it-IT"/>
        </w:rPr>
        <w:t>i promozione della crescita economica e sociale e di valorizzazione delle risorse locali per creare opportunità di sviluppo</w:t>
      </w:r>
      <w:r w:rsidR="00730805" w:rsidRPr="005F47EC">
        <w:rPr>
          <w:rFonts w:asciiTheme="minorHAnsi" w:eastAsia="Calibri" w:hAnsiTheme="minorHAnsi" w:cstheme="minorHAnsi"/>
          <w:lang w:eastAsia="it-IT"/>
        </w:rPr>
        <w:t>.</w:t>
      </w:r>
    </w:p>
    <w:p w14:paraId="7E03B6E1" w14:textId="77777777" w:rsidR="00C37A2F" w:rsidRDefault="00C37A2F" w:rsidP="00730805">
      <w:pPr>
        <w:suppressAutoHyphens w:val="0"/>
        <w:jc w:val="both"/>
        <w:rPr>
          <w:rFonts w:asciiTheme="minorHAnsi" w:eastAsia="Calibri" w:hAnsiTheme="minorHAnsi" w:cstheme="minorHAnsi"/>
          <w:lang w:eastAsia="it-IT"/>
        </w:rPr>
      </w:pPr>
    </w:p>
    <w:sectPr w:rsidR="00C37A2F" w:rsidSect="00535E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69CE" w14:textId="77777777" w:rsidR="00EC304B" w:rsidRDefault="00EC304B">
      <w:r>
        <w:separator/>
      </w:r>
    </w:p>
  </w:endnote>
  <w:endnote w:type="continuationSeparator" w:id="0">
    <w:p w14:paraId="26C9E756" w14:textId="77777777" w:rsidR="00EC304B" w:rsidRDefault="00EC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iss San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AC26" w14:textId="77777777" w:rsidR="00D33944" w:rsidRDefault="00D339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F1BD" w14:textId="3DB2C117" w:rsidR="00E324F3" w:rsidRDefault="00E324F3" w:rsidP="000602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61C">
      <w:rPr>
        <w:rStyle w:val="Numeropagina"/>
        <w:noProof/>
      </w:rPr>
      <w:t>14</w:t>
    </w:r>
    <w:r>
      <w:rPr>
        <w:rStyle w:val="Numeropagina"/>
      </w:rPr>
      <w:fldChar w:fldCharType="end"/>
    </w:r>
  </w:p>
  <w:p w14:paraId="1953DB12" w14:textId="77777777" w:rsidR="00E324F3" w:rsidRDefault="00E324F3" w:rsidP="000602E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470F" w14:textId="77777777" w:rsidR="00D33944" w:rsidRDefault="00D339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5455" w14:textId="77777777" w:rsidR="00EC304B" w:rsidRDefault="00EC304B">
      <w:r>
        <w:separator/>
      </w:r>
    </w:p>
  </w:footnote>
  <w:footnote w:type="continuationSeparator" w:id="0">
    <w:p w14:paraId="0898FE01" w14:textId="77777777" w:rsidR="00EC304B" w:rsidRDefault="00EC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D8D7" w14:textId="77777777" w:rsidR="00D33944" w:rsidRDefault="00D339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B72F" w14:textId="382BF7EE" w:rsidR="00D33944" w:rsidRDefault="00D339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4109" w14:textId="77777777" w:rsidR="00D33944" w:rsidRDefault="00D33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E0B376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DC44AC"/>
    <w:multiLevelType w:val="hybridMultilevel"/>
    <w:tmpl w:val="541AF010"/>
    <w:lvl w:ilvl="0" w:tplc="1478B9B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0948F6"/>
    <w:multiLevelType w:val="multilevel"/>
    <w:tmpl w:val="719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71F2A"/>
    <w:multiLevelType w:val="hybridMultilevel"/>
    <w:tmpl w:val="DA58E34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50EE2EAC">
      <w:start w:val="1"/>
      <w:numFmt w:val="lowerRoman"/>
      <w:lvlText w:val="(%2)"/>
      <w:lvlJc w:val="left"/>
      <w:pPr>
        <w:ind w:left="2520" w:hanging="72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505BD"/>
    <w:multiLevelType w:val="hybridMultilevel"/>
    <w:tmpl w:val="F7809ED4"/>
    <w:lvl w:ilvl="0" w:tplc="4932888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68A1"/>
    <w:multiLevelType w:val="multilevel"/>
    <w:tmpl w:val="6878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60766"/>
    <w:multiLevelType w:val="multilevel"/>
    <w:tmpl w:val="133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0423F"/>
    <w:multiLevelType w:val="hybridMultilevel"/>
    <w:tmpl w:val="432C7468"/>
    <w:lvl w:ilvl="0" w:tplc="04100013">
      <w:start w:val="1"/>
      <w:numFmt w:val="upp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547F37"/>
    <w:multiLevelType w:val="hybridMultilevel"/>
    <w:tmpl w:val="8410F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256D"/>
    <w:multiLevelType w:val="hybridMultilevel"/>
    <w:tmpl w:val="0414BDCE"/>
    <w:lvl w:ilvl="0" w:tplc="ED9AB3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03BDE"/>
    <w:multiLevelType w:val="multilevel"/>
    <w:tmpl w:val="047A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86CBC"/>
    <w:multiLevelType w:val="hybridMultilevel"/>
    <w:tmpl w:val="684EFEB0"/>
    <w:lvl w:ilvl="0" w:tplc="6ABADB0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02915CE"/>
    <w:multiLevelType w:val="multilevel"/>
    <w:tmpl w:val="83F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C2AF6"/>
    <w:multiLevelType w:val="multilevel"/>
    <w:tmpl w:val="AEFC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842FA"/>
    <w:multiLevelType w:val="hybridMultilevel"/>
    <w:tmpl w:val="607015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F06BD"/>
    <w:multiLevelType w:val="multilevel"/>
    <w:tmpl w:val="76B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95BF9"/>
    <w:multiLevelType w:val="multilevel"/>
    <w:tmpl w:val="7798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75D24"/>
    <w:multiLevelType w:val="multilevel"/>
    <w:tmpl w:val="E43A128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iss Sans" w:eastAsia="Aptos" w:hAnsi="Luiss San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36E8E"/>
    <w:multiLevelType w:val="hybridMultilevel"/>
    <w:tmpl w:val="432C746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973DF7"/>
    <w:multiLevelType w:val="multilevel"/>
    <w:tmpl w:val="D41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96AD1"/>
    <w:multiLevelType w:val="multilevel"/>
    <w:tmpl w:val="542E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27AA7"/>
    <w:multiLevelType w:val="multilevel"/>
    <w:tmpl w:val="45DE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528A0"/>
    <w:multiLevelType w:val="hybridMultilevel"/>
    <w:tmpl w:val="432C746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CF7B2F"/>
    <w:multiLevelType w:val="multilevel"/>
    <w:tmpl w:val="12E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4286C"/>
    <w:multiLevelType w:val="hybridMultilevel"/>
    <w:tmpl w:val="9ECC94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E377B"/>
    <w:multiLevelType w:val="hybridMultilevel"/>
    <w:tmpl w:val="F51CB61E"/>
    <w:lvl w:ilvl="0" w:tplc="B1D268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736B5"/>
    <w:multiLevelType w:val="hybridMultilevel"/>
    <w:tmpl w:val="FD7E6A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2792B"/>
    <w:multiLevelType w:val="hybridMultilevel"/>
    <w:tmpl w:val="D7A44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37040">
    <w:abstractNumId w:val="0"/>
  </w:num>
  <w:num w:numId="2" w16cid:durableId="520049116">
    <w:abstractNumId w:val="9"/>
  </w:num>
  <w:num w:numId="3" w16cid:durableId="1120566782">
    <w:abstractNumId w:val="25"/>
  </w:num>
  <w:num w:numId="4" w16cid:durableId="1344555262">
    <w:abstractNumId w:val="3"/>
  </w:num>
  <w:num w:numId="5" w16cid:durableId="1440447238">
    <w:abstractNumId w:val="5"/>
  </w:num>
  <w:num w:numId="6" w16cid:durableId="2131436615">
    <w:abstractNumId w:val="19"/>
  </w:num>
  <w:num w:numId="7" w16cid:durableId="238252914">
    <w:abstractNumId w:val="21"/>
  </w:num>
  <w:num w:numId="8" w16cid:durableId="1544636588">
    <w:abstractNumId w:val="6"/>
  </w:num>
  <w:num w:numId="9" w16cid:durableId="735512210">
    <w:abstractNumId w:val="13"/>
  </w:num>
  <w:num w:numId="10" w16cid:durableId="427311041">
    <w:abstractNumId w:val="15"/>
  </w:num>
  <w:num w:numId="11" w16cid:durableId="2128111572">
    <w:abstractNumId w:val="12"/>
  </w:num>
  <w:num w:numId="12" w16cid:durableId="80571111">
    <w:abstractNumId w:val="23"/>
  </w:num>
  <w:num w:numId="13" w16cid:durableId="1243641322">
    <w:abstractNumId w:val="20"/>
  </w:num>
  <w:num w:numId="14" w16cid:durableId="1689259979">
    <w:abstractNumId w:val="10"/>
  </w:num>
  <w:num w:numId="15" w16cid:durableId="1706636123">
    <w:abstractNumId w:val="2"/>
  </w:num>
  <w:num w:numId="16" w16cid:durableId="2113933439">
    <w:abstractNumId w:val="1"/>
  </w:num>
  <w:num w:numId="17" w16cid:durableId="194857147">
    <w:abstractNumId w:val="17"/>
  </w:num>
  <w:num w:numId="18" w16cid:durableId="2098673522">
    <w:abstractNumId w:val="16"/>
  </w:num>
  <w:num w:numId="19" w16cid:durableId="640498429">
    <w:abstractNumId w:val="11"/>
  </w:num>
  <w:num w:numId="20" w16cid:durableId="941645309">
    <w:abstractNumId w:val="26"/>
  </w:num>
  <w:num w:numId="21" w16cid:durableId="295331687">
    <w:abstractNumId w:val="7"/>
  </w:num>
  <w:num w:numId="22" w16cid:durableId="1167206612">
    <w:abstractNumId w:val="22"/>
  </w:num>
  <w:num w:numId="23" w16cid:durableId="218170599">
    <w:abstractNumId w:val="18"/>
  </w:num>
  <w:num w:numId="24" w16cid:durableId="1354039905">
    <w:abstractNumId w:val="27"/>
  </w:num>
  <w:num w:numId="25" w16cid:durableId="446656326">
    <w:abstractNumId w:val="4"/>
  </w:num>
  <w:num w:numId="26" w16cid:durableId="2012218008">
    <w:abstractNumId w:val="24"/>
  </w:num>
  <w:num w:numId="27" w16cid:durableId="759639061">
    <w:abstractNumId w:val="14"/>
  </w:num>
  <w:num w:numId="28" w16cid:durableId="129066726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E9"/>
    <w:rsid w:val="00000393"/>
    <w:rsid w:val="000006A0"/>
    <w:rsid w:val="00004BA3"/>
    <w:rsid w:val="00005350"/>
    <w:rsid w:val="00010008"/>
    <w:rsid w:val="00010BB5"/>
    <w:rsid w:val="00013991"/>
    <w:rsid w:val="000146F0"/>
    <w:rsid w:val="0002042A"/>
    <w:rsid w:val="00020A54"/>
    <w:rsid w:val="00022154"/>
    <w:rsid w:val="0002252C"/>
    <w:rsid w:val="00022B5F"/>
    <w:rsid w:val="000230A0"/>
    <w:rsid w:val="00023519"/>
    <w:rsid w:val="00027E26"/>
    <w:rsid w:val="000312C6"/>
    <w:rsid w:val="00035E52"/>
    <w:rsid w:val="00042768"/>
    <w:rsid w:val="000466B1"/>
    <w:rsid w:val="0005077C"/>
    <w:rsid w:val="00052C40"/>
    <w:rsid w:val="00055C47"/>
    <w:rsid w:val="000602E9"/>
    <w:rsid w:val="00060D50"/>
    <w:rsid w:val="00060E09"/>
    <w:rsid w:val="00064019"/>
    <w:rsid w:val="00066E49"/>
    <w:rsid w:val="0007031B"/>
    <w:rsid w:val="00072728"/>
    <w:rsid w:val="000755B9"/>
    <w:rsid w:val="00082C19"/>
    <w:rsid w:val="00082F70"/>
    <w:rsid w:val="0008348D"/>
    <w:rsid w:val="0008360F"/>
    <w:rsid w:val="00086EAA"/>
    <w:rsid w:val="00090CD6"/>
    <w:rsid w:val="000915BA"/>
    <w:rsid w:val="00092042"/>
    <w:rsid w:val="00092F08"/>
    <w:rsid w:val="000934B1"/>
    <w:rsid w:val="0009691F"/>
    <w:rsid w:val="000A0047"/>
    <w:rsid w:val="000A3AD6"/>
    <w:rsid w:val="000A77AA"/>
    <w:rsid w:val="000B0309"/>
    <w:rsid w:val="000B326D"/>
    <w:rsid w:val="000B37B7"/>
    <w:rsid w:val="000B5F7C"/>
    <w:rsid w:val="000C0D2B"/>
    <w:rsid w:val="000C0F4C"/>
    <w:rsid w:val="000C404E"/>
    <w:rsid w:val="000C4217"/>
    <w:rsid w:val="000C5013"/>
    <w:rsid w:val="000C5637"/>
    <w:rsid w:val="000C6936"/>
    <w:rsid w:val="000D1784"/>
    <w:rsid w:val="000D5821"/>
    <w:rsid w:val="000D78BD"/>
    <w:rsid w:val="000E03FA"/>
    <w:rsid w:val="000E0DEC"/>
    <w:rsid w:val="000E1975"/>
    <w:rsid w:val="000E1C08"/>
    <w:rsid w:val="000E1DB7"/>
    <w:rsid w:val="000E2399"/>
    <w:rsid w:val="000E2765"/>
    <w:rsid w:val="000E738D"/>
    <w:rsid w:val="000F01CF"/>
    <w:rsid w:val="000F761C"/>
    <w:rsid w:val="000F77EC"/>
    <w:rsid w:val="0010324E"/>
    <w:rsid w:val="00104289"/>
    <w:rsid w:val="00107AE6"/>
    <w:rsid w:val="00107C7B"/>
    <w:rsid w:val="0011217F"/>
    <w:rsid w:val="001134A1"/>
    <w:rsid w:val="001162A9"/>
    <w:rsid w:val="0011655A"/>
    <w:rsid w:val="00117C1E"/>
    <w:rsid w:val="00120F9D"/>
    <w:rsid w:val="00123086"/>
    <w:rsid w:val="0012431F"/>
    <w:rsid w:val="00126DB7"/>
    <w:rsid w:val="00130016"/>
    <w:rsid w:val="0013423C"/>
    <w:rsid w:val="001343CD"/>
    <w:rsid w:val="0014414B"/>
    <w:rsid w:val="0014706F"/>
    <w:rsid w:val="00147294"/>
    <w:rsid w:val="001477A2"/>
    <w:rsid w:val="00156D91"/>
    <w:rsid w:val="001619D2"/>
    <w:rsid w:val="0016228E"/>
    <w:rsid w:val="00162889"/>
    <w:rsid w:val="001700AA"/>
    <w:rsid w:val="00173691"/>
    <w:rsid w:val="00174673"/>
    <w:rsid w:val="001817FC"/>
    <w:rsid w:val="00181DEC"/>
    <w:rsid w:val="001831FA"/>
    <w:rsid w:val="0018639F"/>
    <w:rsid w:val="00190486"/>
    <w:rsid w:val="00190F88"/>
    <w:rsid w:val="00193BF3"/>
    <w:rsid w:val="001A0CF4"/>
    <w:rsid w:val="001A2B6C"/>
    <w:rsid w:val="001A38BB"/>
    <w:rsid w:val="001A3D98"/>
    <w:rsid w:val="001A4686"/>
    <w:rsid w:val="001B003E"/>
    <w:rsid w:val="001B41CB"/>
    <w:rsid w:val="001B498C"/>
    <w:rsid w:val="001C0BC9"/>
    <w:rsid w:val="001C1509"/>
    <w:rsid w:val="001C307C"/>
    <w:rsid w:val="001C31B0"/>
    <w:rsid w:val="001D3521"/>
    <w:rsid w:val="001D3A6D"/>
    <w:rsid w:val="001D3D24"/>
    <w:rsid w:val="001D4C8A"/>
    <w:rsid w:val="001D6D41"/>
    <w:rsid w:val="001E157E"/>
    <w:rsid w:val="001E2156"/>
    <w:rsid w:val="001E678F"/>
    <w:rsid w:val="001F32E8"/>
    <w:rsid w:val="001F4E8A"/>
    <w:rsid w:val="001F74FD"/>
    <w:rsid w:val="002011A9"/>
    <w:rsid w:val="002014C5"/>
    <w:rsid w:val="00201DB1"/>
    <w:rsid w:val="00203E6F"/>
    <w:rsid w:val="00203F1A"/>
    <w:rsid w:val="002057C1"/>
    <w:rsid w:val="00212DE6"/>
    <w:rsid w:val="002158E3"/>
    <w:rsid w:val="0022419D"/>
    <w:rsid w:val="00224565"/>
    <w:rsid w:val="0022466B"/>
    <w:rsid w:val="00231E54"/>
    <w:rsid w:val="00233367"/>
    <w:rsid w:val="002410C2"/>
    <w:rsid w:val="002425BD"/>
    <w:rsid w:val="00243BD8"/>
    <w:rsid w:val="00243E74"/>
    <w:rsid w:val="00243EF4"/>
    <w:rsid w:val="00245BFF"/>
    <w:rsid w:val="0025606D"/>
    <w:rsid w:val="0026194D"/>
    <w:rsid w:val="00263BB1"/>
    <w:rsid w:val="002666B1"/>
    <w:rsid w:val="00271C02"/>
    <w:rsid w:val="0027435F"/>
    <w:rsid w:val="00274831"/>
    <w:rsid w:val="002768B1"/>
    <w:rsid w:val="00276F01"/>
    <w:rsid w:val="00277B03"/>
    <w:rsid w:val="00281578"/>
    <w:rsid w:val="00282B15"/>
    <w:rsid w:val="00285015"/>
    <w:rsid w:val="00286165"/>
    <w:rsid w:val="002936D3"/>
    <w:rsid w:val="00297E4F"/>
    <w:rsid w:val="002A36A7"/>
    <w:rsid w:val="002A45EF"/>
    <w:rsid w:val="002A670E"/>
    <w:rsid w:val="002B0A4D"/>
    <w:rsid w:val="002B3997"/>
    <w:rsid w:val="002C5FE7"/>
    <w:rsid w:val="002D3C1F"/>
    <w:rsid w:val="002D5D3D"/>
    <w:rsid w:val="002E380B"/>
    <w:rsid w:val="002E5692"/>
    <w:rsid w:val="002E5C8D"/>
    <w:rsid w:val="002F003B"/>
    <w:rsid w:val="002F2DDF"/>
    <w:rsid w:val="002F50A4"/>
    <w:rsid w:val="002F6992"/>
    <w:rsid w:val="003009E8"/>
    <w:rsid w:val="003021DC"/>
    <w:rsid w:val="00304176"/>
    <w:rsid w:val="0031013D"/>
    <w:rsid w:val="00313710"/>
    <w:rsid w:val="003145C8"/>
    <w:rsid w:val="00315840"/>
    <w:rsid w:val="0032079B"/>
    <w:rsid w:val="00321328"/>
    <w:rsid w:val="003217DE"/>
    <w:rsid w:val="00321BA9"/>
    <w:rsid w:val="00323423"/>
    <w:rsid w:val="00323DA2"/>
    <w:rsid w:val="0032592E"/>
    <w:rsid w:val="00334D8F"/>
    <w:rsid w:val="00335088"/>
    <w:rsid w:val="0033555C"/>
    <w:rsid w:val="00336019"/>
    <w:rsid w:val="0034005A"/>
    <w:rsid w:val="003416F2"/>
    <w:rsid w:val="00341A10"/>
    <w:rsid w:val="003425D2"/>
    <w:rsid w:val="00344BC1"/>
    <w:rsid w:val="00345212"/>
    <w:rsid w:val="0034586D"/>
    <w:rsid w:val="003458E4"/>
    <w:rsid w:val="00352A49"/>
    <w:rsid w:val="00354520"/>
    <w:rsid w:val="00354714"/>
    <w:rsid w:val="00355C92"/>
    <w:rsid w:val="003579B5"/>
    <w:rsid w:val="0036030D"/>
    <w:rsid w:val="00361C16"/>
    <w:rsid w:val="00363A88"/>
    <w:rsid w:val="00371026"/>
    <w:rsid w:val="00375A8E"/>
    <w:rsid w:val="00383940"/>
    <w:rsid w:val="00384462"/>
    <w:rsid w:val="003906E4"/>
    <w:rsid w:val="00390CE6"/>
    <w:rsid w:val="00391D3A"/>
    <w:rsid w:val="003933BD"/>
    <w:rsid w:val="00394BCE"/>
    <w:rsid w:val="00394CAC"/>
    <w:rsid w:val="00394DE0"/>
    <w:rsid w:val="00395C86"/>
    <w:rsid w:val="00396B7A"/>
    <w:rsid w:val="003A0538"/>
    <w:rsid w:val="003A15EB"/>
    <w:rsid w:val="003A4704"/>
    <w:rsid w:val="003A793F"/>
    <w:rsid w:val="003A7951"/>
    <w:rsid w:val="003B1896"/>
    <w:rsid w:val="003B1ADB"/>
    <w:rsid w:val="003B2181"/>
    <w:rsid w:val="003B25BB"/>
    <w:rsid w:val="003B4183"/>
    <w:rsid w:val="003B47C4"/>
    <w:rsid w:val="003B662B"/>
    <w:rsid w:val="003C50F4"/>
    <w:rsid w:val="003C671F"/>
    <w:rsid w:val="003C6819"/>
    <w:rsid w:val="003D1292"/>
    <w:rsid w:val="003D39CF"/>
    <w:rsid w:val="003D3E82"/>
    <w:rsid w:val="003E02FE"/>
    <w:rsid w:val="003E0EF5"/>
    <w:rsid w:val="003E2700"/>
    <w:rsid w:val="003E27FF"/>
    <w:rsid w:val="003E30C0"/>
    <w:rsid w:val="003E4B55"/>
    <w:rsid w:val="003E7E6E"/>
    <w:rsid w:val="003F0F5B"/>
    <w:rsid w:val="004004EA"/>
    <w:rsid w:val="004012FD"/>
    <w:rsid w:val="00402494"/>
    <w:rsid w:val="00402909"/>
    <w:rsid w:val="00402FEB"/>
    <w:rsid w:val="00404A6E"/>
    <w:rsid w:val="00405722"/>
    <w:rsid w:val="00405987"/>
    <w:rsid w:val="004112F9"/>
    <w:rsid w:val="00411C8B"/>
    <w:rsid w:val="004134AD"/>
    <w:rsid w:val="004145DB"/>
    <w:rsid w:val="00414A3A"/>
    <w:rsid w:val="00415A99"/>
    <w:rsid w:val="00416B71"/>
    <w:rsid w:val="00421006"/>
    <w:rsid w:val="00422E0C"/>
    <w:rsid w:val="00423DF2"/>
    <w:rsid w:val="00427766"/>
    <w:rsid w:val="00430A06"/>
    <w:rsid w:val="00433DC4"/>
    <w:rsid w:val="00434478"/>
    <w:rsid w:val="0043490F"/>
    <w:rsid w:val="00436A9C"/>
    <w:rsid w:val="00440524"/>
    <w:rsid w:val="00442E20"/>
    <w:rsid w:val="00453A3F"/>
    <w:rsid w:val="00454F64"/>
    <w:rsid w:val="00456885"/>
    <w:rsid w:val="00462F96"/>
    <w:rsid w:val="00463CEF"/>
    <w:rsid w:val="00470C5F"/>
    <w:rsid w:val="00471290"/>
    <w:rsid w:val="00474913"/>
    <w:rsid w:val="00474C37"/>
    <w:rsid w:val="004809D5"/>
    <w:rsid w:val="004820F7"/>
    <w:rsid w:val="00484BCB"/>
    <w:rsid w:val="004851D3"/>
    <w:rsid w:val="00485279"/>
    <w:rsid w:val="00486585"/>
    <w:rsid w:val="0048696F"/>
    <w:rsid w:val="00493945"/>
    <w:rsid w:val="00493CBD"/>
    <w:rsid w:val="00495C2F"/>
    <w:rsid w:val="00495F32"/>
    <w:rsid w:val="004A09A8"/>
    <w:rsid w:val="004A326D"/>
    <w:rsid w:val="004A6598"/>
    <w:rsid w:val="004A779F"/>
    <w:rsid w:val="004B0759"/>
    <w:rsid w:val="004B2FA8"/>
    <w:rsid w:val="004B3E4F"/>
    <w:rsid w:val="004B5203"/>
    <w:rsid w:val="004B7DB4"/>
    <w:rsid w:val="004C1AEE"/>
    <w:rsid w:val="004C3420"/>
    <w:rsid w:val="004C4460"/>
    <w:rsid w:val="004C4470"/>
    <w:rsid w:val="004C54A2"/>
    <w:rsid w:val="004C6FCB"/>
    <w:rsid w:val="004D2EC6"/>
    <w:rsid w:val="004D5F1A"/>
    <w:rsid w:val="004E02EA"/>
    <w:rsid w:val="004E1960"/>
    <w:rsid w:val="004E5A0B"/>
    <w:rsid w:val="004E610D"/>
    <w:rsid w:val="004F1F2B"/>
    <w:rsid w:val="004F25D0"/>
    <w:rsid w:val="004F2E6F"/>
    <w:rsid w:val="004F595D"/>
    <w:rsid w:val="004F655C"/>
    <w:rsid w:val="005004BC"/>
    <w:rsid w:val="00504D7F"/>
    <w:rsid w:val="00505EF7"/>
    <w:rsid w:val="005061B3"/>
    <w:rsid w:val="00506BF2"/>
    <w:rsid w:val="00507642"/>
    <w:rsid w:val="0050798D"/>
    <w:rsid w:val="00507B87"/>
    <w:rsid w:val="00510A08"/>
    <w:rsid w:val="00511AD3"/>
    <w:rsid w:val="00512125"/>
    <w:rsid w:val="00512D10"/>
    <w:rsid w:val="00514281"/>
    <w:rsid w:val="00516522"/>
    <w:rsid w:val="00521D3B"/>
    <w:rsid w:val="00525C58"/>
    <w:rsid w:val="005307D6"/>
    <w:rsid w:val="0053207D"/>
    <w:rsid w:val="005324E8"/>
    <w:rsid w:val="00532A07"/>
    <w:rsid w:val="00532E65"/>
    <w:rsid w:val="00535E87"/>
    <w:rsid w:val="00541300"/>
    <w:rsid w:val="00543847"/>
    <w:rsid w:val="005454A4"/>
    <w:rsid w:val="00545DBC"/>
    <w:rsid w:val="00546D7F"/>
    <w:rsid w:val="005475F3"/>
    <w:rsid w:val="00551412"/>
    <w:rsid w:val="00553D0A"/>
    <w:rsid w:val="0055711E"/>
    <w:rsid w:val="00561D57"/>
    <w:rsid w:val="00565745"/>
    <w:rsid w:val="00565B27"/>
    <w:rsid w:val="005668EA"/>
    <w:rsid w:val="005715EB"/>
    <w:rsid w:val="005720CE"/>
    <w:rsid w:val="00574D27"/>
    <w:rsid w:val="0057527B"/>
    <w:rsid w:val="00581306"/>
    <w:rsid w:val="00584811"/>
    <w:rsid w:val="00584EB5"/>
    <w:rsid w:val="00585827"/>
    <w:rsid w:val="005859BC"/>
    <w:rsid w:val="00585BBE"/>
    <w:rsid w:val="00587F2C"/>
    <w:rsid w:val="00594256"/>
    <w:rsid w:val="005953B0"/>
    <w:rsid w:val="00596ACB"/>
    <w:rsid w:val="005A1079"/>
    <w:rsid w:val="005A136C"/>
    <w:rsid w:val="005A2F10"/>
    <w:rsid w:val="005A346C"/>
    <w:rsid w:val="005A38A0"/>
    <w:rsid w:val="005A5032"/>
    <w:rsid w:val="005B1860"/>
    <w:rsid w:val="005B41C8"/>
    <w:rsid w:val="005B53DE"/>
    <w:rsid w:val="005B60E4"/>
    <w:rsid w:val="005B78D6"/>
    <w:rsid w:val="005B7D27"/>
    <w:rsid w:val="005C3AEA"/>
    <w:rsid w:val="005C4B6D"/>
    <w:rsid w:val="005C6D3D"/>
    <w:rsid w:val="005D5EAA"/>
    <w:rsid w:val="005E36DE"/>
    <w:rsid w:val="005E594A"/>
    <w:rsid w:val="005E5ED3"/>
    <w:rsid w:val="005E7239"/>
    <w:rsid w:val="005F0097"/>
    <w:rsid w:val="005F47EC"/>
    <w:rsid w:val="005F538E"/>
    <w:rsid w:val="00607245"/>
    <w:rsid w:val="00611672"/>
    <w:rsid w:val="0061226D"/>
    <w:rsid w:val="0061494A"/>
    <w:rsid w:val="00620931"/>
    <w:rsid w:val="00620BE2"/>
    <w:rsid w:val="006215F7"/>
    <w:rsid w:val="00623260"/>
    <w:rsid w:val="00624028"/>
    <w:rsid w:val="00627DB7"/>
    <w:rsid w:val="006300E8"/>
    <w:rsid w:val="00633378"/>
    <w:rsid w:val="006345D4"/>
    <w:rsid w:val="006359CD"/>
    <w:rsid w:val="00635EAB"/>
    <w:rsid w:val="00636175"/>
    <w:rsid w:val="00637B1F"/>
    <w:rsid w:val="0064136D"/>
    <w:rsid w:val="006457F9"/>
    <w:rsid w:val="00645B1C"/>
    <w:rsid w:val="00651507"/>
    <w:rsid w:val="0065300D"/>
    <w:rsid w:val="0065381F"/>
    <w:rsid w:val="00654DF3"/>
    <w:rsid w:val="00661633"/>
    <w:rsid w:val="00661B76"/>
    <w:rsid w:val="0066309F"/>
    <w:rsid w:val="00666BDD"/>
    <w:rsid w:val="00670607"/>
    <w:rsid w:val="0067578B"/>
    <w:rsid w:val="00675BB4"/>
    <w:rsid w:val="00675C3D"/>
    <w:rsid w:val="00675FEC"/>
    <w:rsid w:val="006772C6"/>
    <w:rsid w:val="00677E16"/>
    <w:rsid w:val="00680B4F"/>
    <w:rsid w:val="0068130B"/>
    <w:rsid w:val="00683910"/>
    <w:rsid w:val="00685BE0"/>
    <w:rsid w:val="00686820"/>
    <w:rsid w:val="00691A44"/>
    <w:rsid w:val="0069206B"/>
    <w:rsid w:val="0069293F"/>
    <w:rsid w:val="00695F22"/>
    <w:rsid w:val="006978DF"/>
    <w:rsid w:val="006A3A2E"/>
    <w:rsid w:val="006A41C7"/>
    <w:rsid w:val="006A4B11"/>
    <w:rsid w:val="006A541D"/>
    <w:rsid w:val="006A5676"/>
    <w:rsid w:val="006B2A5A"/>
    <w:rsid w:val="006B3FA3"/>
    <w:rsid w:val="006B439C"/>
    <w:rsid w:val="006B5308"/>
    <w:rsid w:val="006C4BDA"/>
    <w:rsid w:val="006C4DA2"/>
    <w:rsid w:val="006C648B"/>
    <w:rsid w:val="006D0C28"/>
    <w:rsid w:val="006D367C"/>
    <w:rsid w:val="006D4126"/>
    <w:rsid w:val="006D4289"/>
    <w:rsid w:val="006D58B6"/>
    <w:rsid w:val="006D6F20"/>
    <w:rsid w:val="006E064D"/>
    <w:rsid w:val="006E1414"/>
    <w:rsid w:val="006E2CAA"/>
    <w:rsid w:val="006E3B62"/>
    <w:rsid w:val="006E4F9F"/>
    <w:rsid w:val="006E63CD"/>
    <w:rsid w:val="006E66C6"/>
    <w:rsid w:val="006F0411"/>
    <w:rsid w:val="006F09DD"/>
    <w:rsid w:val="006F6FDD"/>
    <w:rsid w:val="007013A3"/>
    <w:rsid w:val="00701845"/>
    <w:rsid w:val="00706008"/>
    <w:rsid w:val="00706B80"/>
    <w:rsid w:val="00711608"/>
    <w:rsid w:val="0071415E"/>
    <w:rsid w:val="00723FC7"/>
    <w:rsid w:val="0072435F"/>
    <w:rsid w:val="007263D3"/>
    <w:rsid w:val="00727C97"/>
    <w:rsid w:val="00730805"/>
    <w:rsid w:val="00732FE9"/>
    <w:rsid w:val="0073373E"/>
    <w:rsid w:val="0073456C"/>
    <w:rsid w:val="007348BD"/>
    <w:rsid w:val="0074016D"/>
    <w:rsid w:val="0074250D"/>
    <w:rsid w:val="00746B9F"/>
    <w:rsid w:val="00746D90"/>
    <w:rsid w:val="00750972"/>
    <w:rsid w:val="007562A3"/>
    <w:rsid w:val="007617A2"/>
    <w:rsid w:val="00761B75"/>
    <w:rsid w:val="007630F7"/>
    <w:rsid w:val="007734C7"/>
    <w:rsid w:val="00774A4E"/>
    <w:rsid w:val="00774E40"/>
    <w:rsid w:val="00775B81"/>
    <w:rsid w:val="00776595"/>
    <w:rsid w:val="00782E1C"/>
    <w:rsid w:val="007841E0"/>
    <w:rsid w:val="00784376"/>
    <w:rsid w:val="00787049"/>
    <w:rsid w:val="00791C64"/>
    <w:rsid w:val="007A09B4"/>
    <w:rsid w:val="007A0A6F"/>
    <w:rsid w:val="007A6591"/>
    <w:rsid w:val="007A7751"/>
    <w:rsid w:val="007B2337"/>
    <w:rsid w:val="007B31EE"/>
    <w:rsid w:val="007B583D"/>
    <w:rsid w:val="007B5C06"/>
    <w:rsid w:val="007B5C88"/>
    <w:rsid w:val="007B5D13"/>
    <w:rsid w:val="007C3EBA"/>
    <w:rsid w:val="007D00A3"/>
    <w:rsid w:val="007D25A8"/>
    <w:rsid w:val="007E32BD"/>
    <w:rsid w:val="007E599C"/>
    <w:rsid w:val="007F1937"/>
    <w:rsid w:val="007F1C50"/>
    <w:rsid w:val="0080084D"/>
    <w:rsid w:val="00800FE8"/>
    <w:rsid w:val="008020CF"/>
    <w:rsid w:val="00802A6B"/>
    <w:rsid w:val="00807909"/>
    <w:rsid w:val="00810B03"/>
    <w:rsid w:val="00810D6D"/>
    <w:rsid w:val="00813690"/>
    <w:rsid w:val="0081393A"/>
    <w:rsid w:val="00816017"/>
    <w:rsid w:val="008201F7"/>
    <w:rsid w:val="00820537"/>
    <w:rsid w:val="00820E03"/>
    <w:rsid w:val="008222A9"/>
    <w:rsid w:val="00822AF8"/>
    <w:rsid w:val="00823B8A"/>
    <w:rsid w:val="00824231"/>
    <w:rsid w:val="00827750"/>
    <w:rsid w:val="00833A1A"/>
    <w:rsid w:val="00834E35"/>
    <w:rsid w:val="0084235E"/>
    <w:rsid w:val="00842465"/>
    <w:rsid w:val="00843637"/>
    <w:rsid w:val="00845143"/>
    <w:rsid w:val="008470AC"/>
    <w:rsid w:val="00851D83"/>
    <w:rsid w:val="00853798"/>
    <w:rsid w:val="008545DE"/>
    <w:rsid w:val="008557FB"/>
    <w:rsid w:val="00855F1F"/>
    <w:rsid w:val="00855F2B"/>
    <w:rsid w:val="0085774B"/>
    <w:rsid w:val="00862B7A"/>
    <w:rsid w:val="0086554F"/>
    <w:rsid w:val="00867068"/>
    <w:rsid w:val="00867930"/>
    <w:rsid w:val="00870531"/>
    <w:rsid w:val="00872D0A"/>
    <w:rsid w:val="0088197F"/>
    <w:rsid w:val="00881D2D"/>
    <w:rsid w:val="0088216E"/>
    <w:rsid w:val="00884D90"/>
    <w:rsid w:val="00886F13"/>
    <w:rsid w:val="008935B7"/>
    <w:rsid w:val="00894AD0"/>
    <w:rsid w:val="00896BB3"/>
    <w:rsid w:val="008A57C3"/>
    <w:rsid w:val="008A77EC"/>
    <w:rsid w:val="008C1945"/>
    <w:rsid w:val="008C373E"/>
    <w:rsid w:val="008C5049"/>
    <w:rsid w:val="008C537A"/>
    <w:rsid w:val="008D0C8B"/>
    <w:rsid w:val="008D1FB1"/>
    <w:rsid w:val="008D40A0"/>
    <w:rsid w:val="008E0A5F"/>
    <w:rsid w:val="008E1100"/>
    <w:rsid w:val="008E2674"/>
    <w:rsid w:val="008E4748"/>
    <w:rsid w:val="008E546B"/>
    <w:rsid w:val="008E61C9"/>
    <w:rsid w:val="008E6429"/>
    <w:rsid w:val="008E6EC4"/>
    <w:rsid w:val="008F072D"/>
    <w:rsid w:val="008F0E05"/>
    <w:rsid w:val="008F35D9"/>
    <w:rsid w:val="008F5099"/>
    <w:rsid w:val="008F5D3E"/>
    <w:rsid w:val="008F636D"/>
    <w:rsid w:val="009039AE"/>
    <w:rsid w:val="00904EA1"/>
    <w:rsid w:val="00906002"/>
    <w:rsid w:val="00906836"/>
    <w:rsid w:val="00911BB2"/>
    <w:rsid w:val="009133C1"/>
    <w:rsid w:val="00913C06"/>
    <w:rsid w:val="0091640B"/>
    <w:rsid w:val="00917B6A"/>
    <w:rsid w:val="00920AD5"/>
    <w:rsid w:val="00920FC7"/>
    <w:rsid w:val="009215B1"/>
    <w:rsid w:val="00922621"/>
    <w:rsid w:val="00926451"/>
    <w:rsid w:val="009273E4"/>
    <w:rsid w:val="00927EBF"/>
    <w:rsid w:val="00927F6F"/>
    <w:rsid w:val="00932E01"/>
    <w:rsid w:val="00933166"/>
    <w:rsid w:val="009416BD"/>
    <w:rsid w:val="0094182E"/>
    <w:rsid w:val="00943BE3"/>
    <w:rsid w:val="00943CC3"/>
    <w:rsid w:val="009444F0"/>
    <w:rsid w:val="009455A0"/>
    <w:rsid w:val="00946091"/>
    <w:rsid w:val="0094799E"/>
    <w:rsid w:val="00952219"/>
    <w:rsid w:val="00952CD6"/>
    <w:rsid w:val="00953AC8"/>
    <w:rsid w:val="009579B9"/>
    <w:rsid w:val="00960DE6"/>
    <w:rsid w:val="009629C0"/>
    <w:rsid w:val="00964552"/>
    <w:rsid w:val="00974760"/>
    <w:rsid w:val="0097494F"/>
    <w:rsid w:val="00974A6E"/>
    <w:rsid w:val="00974B69"/>
    <w:rsid w:val="00974CDC"/>
    <w:rsid w:val="0097546A"/>
    <w:rsid w:val="00975834"/>
    <w:rsid w:val="00975CCE"/>
    <w:rsid w:val="00976990"/>
    <w:rsid w:val="00977274"/>
    <w:rsid w:val="00982E26"/>
    <w:rsid w:val="00985DA7"/>
    <w:rsid w:val="00996D54"/>
    <w:rsid w:val="009A1EB4"/>
    <w:rsid w:val="009A2822"/>
    <w:rsid w:val="009A290C"/>
    <w:rsid w:val="009A2D4D"/>
    <w:rsid w:val="009A39B1"/>
    <w:rsid w:val="009A55A9"/>
    <w:rsid w:val="009A6EDA"/>
    <w:rsid w:val="009B3553"/>
    <w:rsid w:val="009B3880"/>
    <w:rsid w:val="009B4312"/>
    <w:rsid w:val="009B5D76"/>
    <w:rsid w:val="009B7409"/>
    <w:rsid w:val="009B74F3"/>
    <w:rsid w:val="009C259C"/>
    <w:rsid w:val="009C2CCD"/>
    <w:rsid w:val="009C4FA4"/>
    <w:rsid w:val="009C58FE"/>
    <w:rsid w:val="009D41CF"/>
    <w:rsid w:val="009D61B9"/>
    <w:rsid w:val="009D7028"/>
    <w:rsid w:val="009E092F"/>
    <w:rsid w:val="009E108E"/>
    <w:rsid w:val="009E2A08"/>
    <w:rsid w:val="009E3F78"/>
    <w:rsid w:val="009E5618"/>
    <w:rsid w:val="009E6624"/>
    <w:rsid w:val="009F0744"/>
    <w:rsid w:val="009F33CD"/>
    <w:rsid w:val="009F4D7C"/>
    <w:rsid w:val="009F7CB1"/>
    <w:rsid w:val="009F7DCC"/>
    <w:rsid w:val="00A00963"/>
    <w:rsid w:val="00A0121B"/>
    <w:rsid w:val="00A035B4"/>
    <w:rsid w:val="00A06733"/>
    <w:rsid w:val="00A1179A"/>
    <w:rsid w:val="00A14494"/>
    <w:rsid w:val="00A17441"/>
    <w:rsid w:val="00A2355F"/>
    <w:rsid w:val="00A2406D"/>
    <w:rsid w:val="00A265DB"/>
    <w:rsid w:val="00A31C1B"/>
    <w:rsid w:val="00A33F1D"/>
    <w:rsid w:val="00A34BDD"/>
    <w:rsid w:val="00A36A7E"/>
    <w:rsid w:val="00A421E1"/>
    <w:rsid w:val="00A42B0E"/>
    <w:rsid w:val="00A42E8E"/>
    <w:rsid w:val="00A45933"/>
    <w:rsid w:val="00A5040B"/>
    <w:rsid w:val="00A5214C"/>
    <w:rsid w:val="00A55ED5"/>
    <w:rsid w:val="00A56951"/>
    <w:rsid w:val="00A57532"/>
    <w:rsid w:val="00A57B71"/>
    <w:rsid w:val="00A60FDC"/>
    <w:rsid w:val="00A61928"/>
    <w:rsid w:val="00A6222D"/>
    <w:rsid w:val="00A64EA1"/>
    <w:rsid w:val="00A6662A"/>
    <w:rsid w:val="00A671E8"/>
    <w:rsid w:val="00A70C27"/>
    <w:rsid w:val="00A7482E"/>
    <w:rsid w:val="00A76026"/>
    <w:rsid w:val="00A8054B"/>
    <w:rsid w:val="00A83E2E"/>
    <w:rsid w:val="00A851B4"/>
    <w:rsid w:val="00A85DFF"/>
    <w:rsid w:val="00A85EFC"/>
    <w:rsid w:val="00A86017"/>
    <w:rsid w:val="00A920AE"/>
    <w:rsid w:val="00A923BD"/>
    <w:rsid w:val="00A92D2B"/>
    <w:rsid w:val="00A9326D"/>
    <w:rsid w:val="00A943C9"/>
    <w:rsid w:val="00A9484B"/>
    <w:rsid w:val="00A953C2"/>
    <w:rsid w:val="00AA5428"/>
    <w:rsid w:val="00AB054D"/>
    <w:rsid w:val="00AB0BA0"/>
    <w:rsid w:val="00AB3D28"/>
    <w:rsid w:val="00AB3D80"/>
    <w:rsid w:val="00AC25F4"/>
    <w:rsid w:val="00AC4312"/>
    <w:rsid w:val="00AD0AF5"/>
    <w:rsid w:val="00AD1E82"/>
    <w:rsid w:val="00AD23E7"/>
    <w:rsid w:val="00AD3435"/>
    <w:rsid w:val="00AE0366"/>
    <w:rsid w:val="00AE03B1"/>
    <w:rsid w:val="00AE0E57"/>
    <w:rsid w:val="00AE1872"/>
    <w:rsid w:val="00AE34B4"/>
    <w:rsid w:val="00AE571D"/>
    <w:rsid w:val="00AE648C"/>
    <w:rsid w:val="00AE64AD"/>
    <w:rsid w:val="00AE70CD"/>
    <w:rsid w:val="00AE7557"/>
    <w:rsid w:val="00AE7774"/>
    <w:rsid w:val="00AF00EA"/>
    <w:rsid w:val="00AF6323"/>
    <w:rsid w:val="00B008AB"/>
    <w:rsid w:val="00B00E07"/>
    <w:rsid w:val="00B030F3"/>
    <w:rsid w:val="00B035E1"/>
    <w:rsid w:val="00B03682"/>
    <w:rsid w:val="00B1330A"/>
    <w:rsid w:val="00B135BC"/>
    <w:rsid w:val="00B14DC9"/>
    <w:rsid w:val="00B14F74"/>
    <w:rsid w:val="00B150F6"/>
    <w:rsid w:val="00B16267"/>
    <w:rsid w:val="00B16BBC"/>
    <w:rsid w:val="00B2050F"/>
    <w:rsid w:val="00B20DC3"/>
    <w:rsid w:val="00B20E46"/>
    <w:rsid w:val="00B2416B"/>
    <w:rsid w:val="00B25450"/>
    <w:rsid w:val="00B2748E"/>
    <w:rsid w:val="00B32390"/>
    <w:rsid w:val="00B32E0C"/>
    <w:rsid w:val="00B37E93"/>
    <w:rsid w:val="00B4038A"/>
    <w:rsid w:val="00B42884"/>
    <w:rsid w:val="00B43E8B"/>
    <w:rsid w:val="00B451E5"/>
    <w:rsid w:val="00B456A8"/>
    <w:rsid w:val="00B46C85"/>
    <w:rsid w:val="00B50EBA"/>
    <w:rsid w:val="00B529DE"/>
    <w:rsid w:val="00B53A3D"/>
    <w:rsid w:val="00B56849"/>
    <w:rsid w:val="00B67049"/>
    <w:rsid w:val="00B673F0"/>
    <w:rsid w:val="00B67CE2"/>
    <w:rsid w:val="00B71180"/>
    <w:rsid w:val="00B718A3"/>
    <w:rsid w:val="00B75ECC"/>
    <w:rsid w:val="00B75F98"/>
    <w:rsid w:val="00B77018"/>
    <w:rsid w:val="00B80F06"/>
    <w:rsid w:val="00B83A31"/>
    <w:rsid w:val="00B8531E"/>
    <w:rsid w:val="00B85380"/>
    <w:rsid w:val="00B86AFC"/>
    <w:rsid w:val="00B93BC7"/>
    <w:rsid w:val="00B95FB4"/>
    <w:rsid w:val="00B96C68"/>
    <w:rsid w:val="00BA37C4"/>
    <w:rsid w:val="00BA3C8D"/>
    <w:rsid w:val="00BA7A2B"/>
    <w:rsid w:val="00BB2B54"/>
    <w:rsid w:val="00BB35EA"/>
    <w:rsid w:val="00BB72AA"/>
    <w:rsid w:val="00BB7526"/>
    <w:rsid w:val="00BC043D"/>
    <w:rsid w:val="00BC209A"/>
    <w:rsid w:val="00BC35DF"/>
    <w:rsid w:val="00BC4CFD"/>
    <w:rsid w:val="00BC5637"/>
    <w:rsid w:val="00BC6B03"/>
    <w:rsid w:val="00BE0130"/>
    <w:rsid w:val="00BE042C"/>
    <w:rsid w:val="00BE17FC"/>
    <w:rsid w:val="00BE1E5E"/>
    <w:rsid w:val="00BE2ECE"/>
    <w:rsid w:val="00BE34DB"/>
    <w:rsid w:val="00BF0366"/>
    <w:rsid w:val="00BF08C1"/>
    <w:rsid w:val="00BF4D74"/>
    <w:rsid w:val="00BF51E4"/>
    <w:rsid w:val="00BF5654"/>
    <w:rsid w:val="00C01DD7"/>
    <w:rsid w:val="00C03D76"/>
    <w:rsid w:val="00C04193"/>
    <w:rsid w:val="00C059C1"/>
    <w:rsid w:val="00C0682D"/>
    <w:rsid w:val="00C104EE"/>
    <w:rsid w:val="00C137C3"/>
    <w:rsid w:val="00C16CFF"/>
    <w:rsid w:val="00C17161"/>
    <w:rsid w:val="00C17D2C"/>
    <w:rsid w:val="00C22FA8"/>
    <w:rsid w:val="00C267BD"/>
    <w:rsid w:val="00C34A84"/>
    <w:rsid w:val="00C371B3"/>
    <w:rsid w:val="00C37A2F"/>
    <w:rsid w:val="00C40478"/>
    <w:rsid w:val="00C41D2A"/>
    <w:rsid w:val="00C44843"/>
    <w:rsid w:val="00C461A2"/>
    <w:rsid w:val="00C46B82"/>
    <w:rsid w:val="00C47A83"/>
    <w:rsid w:val="00C51478"/>
    <w:rsid w:val="00C520DF"/>
    <w:rsid w:val="00C52ED5"/>
    <w:rsid w:val="00C56CE9"/>
    <w:rsid w:val="00C57243"/>
    <w:rsid w:val="00C601AA"/>
    <w:rsid w:val="00C66398"/>
    <w:rsid w:val="00C66DD6"/>
    <w:rsid w:val="00C70C29"/>
    <w:rsid w:val="00C7419A"/>
    <w:rsid w:val="00C74B0F"/>
    <w:rsid w:val="00C75B3C"/>
    <w:rsid w:val="00C8380E"/>
    <w:rsid w:val="00C84827"/>
    <w:rsid w:val="00C84E6D"/>
    <w:rsid w:val="00C858FF"/>
    <w:rsid w:val="00C86AD2"/>
    <w:rsid w:val="00C9173F"/>
    <w:rsid w:val="00C960C3"/>
    <w:rsid w:val="00C9626A"/>
    <w:rsid w:val="00C9700D"/>
    <w:rsid w:val="00C97A1B"/>
    <w:rsid w:val="00CA24D9"/>
    <w:rsid w:val="00CA4401"/>
    <w:rsid w:val="00CA465C"/>
    <w:rsid w:val="00CA4CCD"/>
    <w:rsid w:val="00CA61AD"/>
    <w:rsid w:val="00CB289C"/>
    <w:rsid w:val="00CB3CCE"/>
    <w:rsid w:val="00CB3D48"/>
    <w:rsid w:val="00CB4413"/>
    <w:rsid w:val="00CB5482"/>
    <w:rsid w:val="00CB5D6B"/>
    <w:rsid w:val="00CB7F12"/>
    <w:rsid w:val="00CC051E"/>
    <w:rsid w:val="00CC0667"/>
    <w:rsid w:val="00CC4082"/>
    <w:rsid w:val="00CC79FE"/>
    <w:rsid w:val="00CD3182"/>
    <w:rsid w:val="00CD346C"/>
    <w:rsid w:val="00CD3C24"/>
    <w:rsid w:val="00CD7055"/>
    <w:rsid w:val="00CD7B9A"/>
    <w:rsid w:val="00CE1E9A"/>
    <w:rsid w:val="00CE214D"/>
    <w:rsid w:val="00CF0AA3"/>
    <w:rsid w:val="00CF3DEE"/>
    <w:rsid w:val="00CF3FC6"/>
    <w:rsid w:val="00CF4E5E"/>
    <w:rsid w:val="00CF53B4"/>
    <w:rsid w:val="00CF6D63"/>
    <w:rsid w:val="00D01E68"/>
    <w:rsid w:val="00D01F8E"/>
    <w:rsid w:val="00D02159"/>
    <w:rsid w:val="00D03AE2"/>
    <w:rsid w:val="00D0498F"/>
    <w:rsid w:val="00D100A7"/>
    <w:rsid w:val="00D10E2C"/>
    <w:rsid w:val="00D115B8"/>
    <w:rsid w:val="00D1171C"/>
    <w:rsid w:val="00D12303"/>
    <w:rsid w:val="00D149AE"/>
    <w:rsid w:val="00D158DD"/>
    <w:rsid w:val="00D15D8B"/>
    <w:rsid w:val="00D16834"/>
    <w:rsid w:val="00D20819"/>
    <w:rsid w:val="00D20B67"/>
    <w:rsid w:val="00D21D95"/>
    <w:rsid w:val="00D22216"/>
    <w:rsid w:val="00D2233C"/>
    <w:rsid w:val="00D27551"/>
    <w:rsid w:val="00D33944"/>
    <w:rsid w:val="00D378E6"/>
    <w:rsid w:val="00D40990"/>
    <w:rsid w:val="00D41052"/>
    <w:rsid w:val="00D41B6B"/>
    <w:rsid w:val="00D44D1A"/>
    <w:rsid w:val="00D4561B"/>
    <w:rsid w:val="00D46C4B"/>
    <w:rsid w:val="00D523A6"/>
    <w:rsid w:val="00D5442C"/>
    <w:rsid w:val="00D60A7A"/>
    <w:rsid w:val="00D66A6B"/>
    <w:rsid w:val="00D705A4"/>
    <w:rsid w:val="00D80B49"/>
    <w:rsid w:val="00D812D7"/>
    <w:rsid w:val="00D82C25"/>
    <w:rsid w:val="00D8430C"/>
    <w:rsid w:val="00D84A9F"/>
    <w:rsid w:val="00D85650"/>
    <w:rsid w:val="00D91DBA"/>
    <w:rsid w:val="00D93D74"/>
    <w:rsid w:val="00D94340"/>
    <w:rsid w:val="00D94B69"/>
    <w:rsid w:val="00DA019F"/>
    <w:rsid w:val="00DA0208"/>
    <w:rsid w:val="00DA352D"/>
    <w:rsid w:val="00DA3A28"/>
    <w:rsid w:val="00DA67BC"/>
    <w:rsid w:val="00DA6B53"/>
    <w:rsid w:val="00DB2BBE"/>
    <w:rsid w:val="00DB6008"/>
    <w:rsid w:val="00DC088E"/>
    <w:rsid w:val="00DC1BE9"/>
    <w:rsid w:val="00DC4D77"/>
    <w:rsid w:val="00DC74BE"/>
    <w:rsid w:val="00DD00B2"/>
    <w:rsid w:val="00DD25D8"/>
    <w:rsid w:val="00DD2E10"/>
    <w:rsid w:val="00DD3E5E"/>
    <w:rsid w:val="00DD6806"/>
    <w:rsid w:val="00DD78F7"/>
    <w:rsid w:val="00DE0E44"/>
    <w:rsid w:val="00DE336A"/>
    <w:rsid w:val="00DE3DA6"/>
    <w:rsid w:val="00DE67B2"/>
    <w:rsid w:val="00DE6D28"/>
    <w:rsid w:val="00DE7B07"/>
    <w:rsid w:val="00DF061F"/>
    <w:rsid w:val="00DF0D98"/>
    <w:rsid w:val="00DF2C21"/>
    <w:rsid w:val="00DF33DC"/>
    <w:rsid w:val="00DF3BD1"/>
    <w:rsid w:val="00DF3FF7"/>
    <w:rsid w:val="00DF4ADA"/>
    <w:rsid w:val="00DF6FDE"/>
    <w:rsid w:val="00DF7336"/>
    <w:rsid w:val="00E03039"/>
    <w:rsid w:val="00E10C2A"/>
    <w:rsid w:val="00E11AFD"/>
    <w:rsid w:val="00E11BC0"/>
    <w:rsid w:val="00E133A9"/>
    <w:rsid w:val="00E13753"/>
    <w:rsid w:val="00E16AA7"/>
    <w:rsid w:val="00E16FE7"/>
    <w:rsid w:val="00E21812"/>
    <w:rsid w:val="00E233D3"/>
    <w:rsid w:val="00E23994"/>
    <w:rsid w:val="00E23BE7"/>
    <w:rsid w:val="00E23D22"/>
    <w:rsid w:val="00E27CE1"/>
    <w:rsid w:val="00E324F3"/>
    <w:rsid w:val="00E33721"/>
    <w:rsid w:val="00E373D2"/>
    <w:rsid w:val="00E37F4A"/>
    <w:rsid w:val="00E404FE"/>
    <w:rsid w:val="00E40E3F"/>
    <w:rsid w:val="00E457D8"/>
    <w:rsid w:val="00E463B9"/>
    <w:rsid w:val="00E46720"/>
    <w:rsid w:val="00E51172"/>
    <w:rsid w:val="00E52620"/>
    <w:rsid w:val="00E54FAD"/>
    <w:rsid w:val="00E551F2"/>
    <w:rsid w:val="00E56030"/>
    <w:rsid w:val="00E56F4A"/>
    <w:rsid w:val="00E608A0"/>
    <w:rsid w:val="00E6198A"/>
    <w:rsid w:val="00E649B8"/>
    <w:rsid w:val="00E65427"/>
    <w:rsid w:val="00E66F08"/>
    <w:rsid w:val="00E70174"/>
    <w:rsid w:val="00E7582A"/>
    <w:rsid w:val="00E766B6"/>
    <w:rsid w:val="00E81AF6"/>
    <w:rsid w:val="00E84EC2"/>
    <w:rsid w:val="00E86634"/>
    <w:rsid w:val="00E874F6"/>
    <w:rsid w:val="00E87870"/>
    <w:rsid w:val="00E975B5"/>
    <w:rsid w:val="00E97ECE"/>
    <w:rsid w:val="00E97EF6"/>
    <w:rsid w:val="00EA02FE"/>
    <w:rsid w:val="00EA0FCE"/>
    <w:rsid w:val="00EA40B4"/>
    <w:rsid w:val="00EA5D73"/>
    <w:rsid w:val="00EB312D"/>
    <w:rsid w:val="00EB53F4"/>
    <w:rsid w:val="00EB57A4"/>
    <w:rsid w:val="00EC116B"/>
    <w:rsid w:val="00EC15F0"/>
    <w:rsid w:val="00EC2C1D"/>
    <w:rsid w:val="00EC304B"/>
    <w:rsid w:val="00EC3933"/>
    <w:rsid w:val="00EC5EBA"/>
    <w:rsid w:val="00EC61CD"/>
    <w:rsid w:val="00ED04C1"/>
    <w:rsid w:val="00ED1868"/>
    <w:rsid w:val="00ED22D6"/>
    <w:rsid w:val="00ED2B1D"/>
    <w:rsid w:val="00ED3817"/>
    <w:rsid w:val="00ED39AF"/>
    <w:rsid w:val="00EE2DCB"/>
    <w:rsid w:val="00EE32D2"/>
    <w:rsid w:val="00EE3F37"/>
    <w:rsid w:val="00EE451F"/>
    <w:rsid w:val="00EE5ECA"/>
    <w:rsid w:val="00EF4D92"/>
    <w:rsid w:val="00EF5759"/>
    <w:rsid w:val="00EF6A07"/>
    <w:rsid w:val="00F0448A"/>
    <w:rsid w:val="00F0775C"/>
    <w:rsid w:val="00F248F3"/>
    <w:rsid w:val="00F269AD"/>
    <w:rsid w:val="00F30077"/>
    <w:rsid w:val="00F3044F"/>
    <w:rsid w:val="00F32BF3"/>
    <w:rsid w:val="00F3593C"/>
    <w:rsid w:val="00F41809"/>
    <w:rsid w:val="00F420F2"/>
    <w:rsid w:val="00F44588"/>
    <w:rsid w:val="00F44A42"/>
    <w:rsid w:val="00F44BCC"/>
    <w:rsid w:val="00F44D00"/>
    <w:rsid w:val="00F44EC8"/>
    <w:rsid w:val="00F505E3"/>
    <w:rsid w:val="00F51C68"/>
    <w:rsid w:val="00F550AC"/>
    <w:rsid w:val="00F605AA"/>
    <w:rsid w:val="00F67E43"/>
    <w:rsid w:val="00F7198E"/>
    <w:rsid w:val="00F73B28"/>
    <w:rsid w:val="00F74022"/>
    <w:rsid w:val="00F7679A"/>
    <w:rsid w:val="00F76A18"/>
    <w:rsid w:val="00F77510"/>
    <w:rsid w:val="00F825C2"/>
    <w:rsid w:val="00F83B93"/>
    <w:rsid w:val="00F86366"/>
    <w:rsid w:val="00F87408"/>
    <w:rsid w:val="00F9010C"/>
    <w:rsid w:val="00FA07BE"/>
    <w:rsid w:val="00FA3772"/>
    <w:rsid w:val="00FA47A1"/>
    <w:rsid w:val="00FA50CF"/>
    <w:rsid w:val="00FA7FC4"/>
    <w:rsid w:val="00FB02F2"/>
    <w:rsid w:val="00FB2873"/>
    <w:rsid w:val="00FB39AD"/>
    <w:rsid w:val="00FB45FC"/>
    <w:rsid w:val="00FB602F"/>
    <w:rsid w:val="00FB7A86"/>
    <w:rsid w:val="00FC10A6"/>
    <w:rsid w:val="00FC10F8"/>
    <w:rsid w:val="00FC14B0"/>
    <w:rsid w:val="00FC1A9E"/>
    <w:rsid w:val="00FC297E"/>
    <w:rsid w:val="00FC626B"/>
    <w:rsid w:val="00FD0B64"/>
    <w:rsid w:val="00FD1BB4"/>
    <w:rsid w:val="00FD21A3"/>
    <w:rsid w:val="00FD2FFC"/>
    <w:rsid w:val="00FD60AE"/>
    <w:rsid w:val="00FD615F"/>
    <w:rsid w:val="00FF03FA"/>
    <w:rsid w:val="00FF2B33"/>
    <w:rsid w:val="00FF5E16"/>
    <w:rsid w:val="00FF6DDA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AA316"/>
  <w15:chartTrackingRefBased/>
  <w15:docId w15:val="{A6F6FBCA-499E-45FC-9C1D-03A30DC0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55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0602E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60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eading 3-MISE"/>
    <w:basedOn w:val="Normale"/>
    <w:next w:val="Normale"/>
    <w:link w:val="Titolo3Carattere"/>
    <w:qFormat/>
    <w:rsid w:val="000602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35E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0602E9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locked/>
    <w:rsid w:val="000602E9"/>
    <w:rPr>
      <w:rFonts w:ascii="Arial" w:hAnsi="Arial" w:cs="Arial"/>
      <w:b/>
      <w:bCs/>
      <w:i/>
      <w:iCs/>
      <w:sz w:val="28"/>
      <w:szCs w:val="28"/>
      <w:lang w:val="it-IT" w:eastAsia="ar-SA" w:bidi="ar-SA"/>
    </w:rPr>
  </w:style>
  <w:style w:type="character" w:customStyle="1" w:styleId="Titolo3Carattere">
    <w:name w:val="Titolo 3 Carattere"/>
    <w:aliases w:val="Heading 3-MISE Carattere"/>
    <w:link w:val="Titolo3"/>
    <w:locked/>
    <w:rsid w:val="000602E9"/>
    <w:rPr>
      <w:rFonts w:ascii="Arial" w:hAnsi="Arial" w:cs="Arial"/>
      <w:b/>
      <w:bCs/>
      <w:sz w:val="26"/>
      <w:szCs w:val="26"/>
      <w:lang w:val="it-IT" w:eastAsia="ar-SA" w:bidi="ar-SA"/>
    </w:rPr>
  </w:style>
  <w:style w:type="character" w:styleId="Numeropagina">
    <w:name w:val="page number"/>
    <w:basedOn w:val="Carpredefinitoparagrafo"/>
    <w:rsid w:val="000602E9"/>
  </w:style>
  <w:style w:type="paragraph" w:styleId="Intestazione">
    <w:name w:val="header"/>
    <w:basedOn w:val="Normale"/>
    <w:link w:val="IntestazioneCarattere"/>
    <w:rsid w:val="000602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0602E9"/>
    <w:rPr>
      <w:sz w:val="24"/>
      <w:szCs w:val="24"/>
      <w:lang w:val="it-IT" w:eastAsia="ar-SA" w:bidi="ar-SA"/>
    </w:rPr>
  </w:style>
  <w:style w:type="paragraph" w:styleId="Pidipagina">
    <w:name w:val="footer"/>
    <w:basedOn w:val="Normale"/>
    <w:link w:val="PidipaginaCarattere"/>
    <w:uiPriority w:val="99"/>
    <w:rsid w:val="000602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602E9"/>
    <w:rPr>
      <w:sz w:val="24"/>
      <w:szCs w:val="24"/>
      <w:lang w:val="it-IT" w:eastAsia="ar-SA" w:bidi="ar-SA"/>
    </w:rPr>
  </w:style>
  <w:style w:type="paragraph" w:customStyle="1" w:styleId="ListParagraph1">
    <w:name w:val="List Paragraph1"/>
    <w:basedOn w:val="Normale"/>
    <w:rsid w:val="000602E9"/>
    <w:pPr>
      <w:ind w:left="720"/>
      <w:contextualSpacing/>
    </w:pPr>
  </w:style>
  <w:style w:type="paragraph" w:styleId="Mappadocumento">
    <w:name w:val="Document Map"/>
    <w:basedOn w:val="Normale"/>
    <w:semiHidden/>
    <w:rsid w:val="001F32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FB02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B02F2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99"/>
    <w:qFormat/>
    <w:rsid w:val="00C40478"/>
    <w:pPr>
      <w:suppressAutoHyphens w:val="0"/>
      <w:ind w:left="720"/>
      <w:contextualSpacing/>
    </w:pPr>
    <w:rPr>
      <w:rFonts w:eastAsia="Calibri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7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5E7239"/>
    <w:rPr>
      <w:rFonts w:ascii="Courier New" w:hAnsi="Courier New" w:cs="Courier New"/>
    </w:rPr>
  </w:style>
  <w:style w:type="paragraph" w:customStyle="1" w:styleId="Default">
    <w:name w:val="Default"/>
    <w:rsid w:val="009B74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69206B"/>
    <w:rPr>
      <w:b/>
      <w:bCs/>
    </w:rPr>
  </w:style>
  <w:style w:type="character" w:styleId="Rimandocommento">
    <w:name w:val="annotation reference"/>
    <w:rsid w:val="00ED04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D04C1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ED04C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ED04C1"/>
    <w:rPr>
      <w:b/>
      <w:bCs/>
    </w:rPr>
  </w:style>
  <w:style w:type="character" w:customStyle="1" w:styleId="SoggettocommentoCarattere">
    <w:name w:val="Soggetto commento Carattere"/>
    <w:link w:val="Soggettocommento"/>
    <w:rsid w:val="00ED04C1"/>
    <w:rPr>
      <w:b/>
      <w:bCs/>
      <w:lang w:eastAsia="ar-SA"/>
    </w:rPr>
  </w:style>
  <w:style w:type="table" w:styleId="Grigliatabella">
    <w:name w:val="Table Grid"/>
    <w:basedOn w:val="Tabellanormale"/>
    <w:rsid w:val="00A5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semiHidden/>
    <w:unhideWhenUsed/>
    <w:qFormat/>
    <w:rsid w:val="00FB45F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772C6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5E594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5E594A"/>
    <w:rPr>
      <w:lang w:eastAsia="ar-SA"/>
    </w:rPr>
  </w:style>
  <w:style w:type="character" w:styleId="Rimandonotaapidipagina">
    <w:name w:val="footnote reference"/>
    <w:rsid w:val="005E594A"/>
    <w:rPr>
      <w:vertAlign w:val="superscript"/>
    </w:rPr>
  </w:style>
  <w:style w:type="character" w:styleId="Collegamentoipertestuale">
    <w:name w:val="Hyperlink"/>
    <w:uiPriority w:val="99"/>
    <w:unhideWhenUsed/>
    <w:rsid w:val="000E738D"/>
    <w:rPr>
      <w:rFonts w:ascii="Times New Roman" w:hAnsi="Times New Roman" w:cs="Times New Roman" w:hint="default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218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2181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semiHidden/>
    <w:rsid w:val="00535E8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uv3um">
    <w:name w:val="uv3um"/>
    <w:basedOn w:val="Carpredefinitoparagrafo"/>
    <w:rsid w:val="0013423C"/>
  </w:style>
  <w:style w:type="paragraph" w:styleId="NormaleWeb">
    <w:name w:val="Normal (Web)"/>
    <w:basedOn w:val="Normale"/>
    <w:uiPriority w:val="99"/>
    <w:unhideWhenUsed/>
    <w:rsid w:val="00A42E8E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5C2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95C2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3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7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7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5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search?cs=0&amp;sca_esv=5b71cfa89013eb9f&amp;sxsrf=AE3TifNwWso143vlTwm34I9hphf3nSJo9g%3A1757936517442&amp;q=394+del+13+ottobre+2021&amp;sa=X&amp;ved=2ahUKEwjpwpDt19qPAxU89AIHHbtJAOMQxccNegQIBBAB&amp;mstk=AUtExfDDi094HONQFjcFTUdsNrvL_EJfMgh1Goyn08SbBIAfjUfY082kCvGGAnZaRuc0CR-IRBmuBc6kSrstFE7FybmB9DoC2t_j5KEpLJaPKh60v5qjQ9Lf2xN0f6XOAl_pJgyz-Ie8gm1Y0HNqLOx39Y58EL3t1wJ1XPze17M5Rl75NeA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5b71cfa89013eb9f&amp;sxsrf=AE3TifNwWso143vlTwm34I9hphf3nSJo9g%3A1757936517442&amp;q=Decreto+del+Ministero+delle+Infrastrutture+e+dei+Trasporti+%28MIT%29+n.&amp;sa=X&amp;ved=2ahUKEwjpwpDt19qPAxU89AIHHbtJAOMQxccNegQIAhAB&amp;mstk=AUtExfDDi094HONQFjcFTUdsNrvL_EJfMgh1Goyn08SbBIAfjUfY082kCvGGAnZaRuc0CR-IRBmuBc6kSrstFE7FybmB9DoC2t_j5KEpLJaPKh60v5qjQ9Lf2xN0f6XOAl_pJgyz-Ie8gm1Y0HNqLOx39Y58EL3t1wJ1XPze17M5Rl75NeA&amp;csui=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83C7D-045E-4096-BDAB-AB4DBF59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2396</Words>
  <Characters>13659</Characters>
  <Application>Microsoft Office Word</Application>
  <DocSecurity>0</DocSecurity>
  <Lines>113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16023</CharactersWithSpaces>
  <SharedDoc>false</SharedDoc>
  <HyperlinkBase/>
  <HLinks>
    <vt:vector size="12" baseType="variant"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>https://www.indicepa.gov.it/ipa-portale/consultazione/indirizzo-sede/ricerca-ente</vt:lpwstr>
      </vt:variant>
      <vt:variant>
        <vt:lpwstr/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https://www.indicepa.gov.it/ipa-portale/consultazione/indirizzo-sede/ricerca-ente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DISTEFANO Claudio Gaetano</dc:creator>
  <cp:keywords/>
  <cp:lastModifiedBy>Andrea Pacella</cp:lastModifiedBy>
  <cp:revision>2</cp:revision>
  <cp:lastPrinted>2025-09-10T14:38:00Z</cp:lastPrinted>
  <dcterms:created xsi:type="dcterms:W3CDTF">2025-10-20T12:52:00Z</dcterms:created>
  <dcterms:modified xsi:type="dcterms:W3CDTF">2025-10-20T12:52:00Z</dcterms:modified>
</cp:coreProperties>
</file>