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087A" w14:textId="77777777" w:rsidR="001D037F" w:rsidRDefault="001D037F" w:rsidP="001D037F"/>
    <w:p w14:paraId="2AF9CB60" w14:textId="77777777" w:rsidR="001D037F" w:rsidRDefault="001D037F" w:rsidP="001D037F"/>
    <w:p w14:paraId="167A1883" w14:textId="2A2A11CE" w:rsidR="001D037F" w:rsidRDefault="001D037F" w:rsidP="001D037F">
      <w:pPr>
        <w:jc w:val="center"/>
      </w:pPr>
      <w:r>
        <w:rPr>
          <w:noProof/>
        </w:rPr>
        <w:drawing>
          <wp:inline distT="0" distB="0" distL="0" distR="0" wp14:anchorId="57007676" wp14:editId="619517CE">
            <wp:extent cx="2660311" cy="2194560"/>
            <wp:effectExtent l="0" t="0" r="6985" b="0"/>
            <wp:docPr id="7606412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41276" name="Immagine 760641276"/>
                    <pic:cNvPicPr/>
                  </pic:nvPicPr>
                  <pic:blipFill>
                    <a:blip r:embed="rId7">
                      <a:extLst>
                        <a:ext uri="{28A0092B-C50C-407E-A947-70E740481C1C}">
                          <a14:useLocalDpi xmlns:a14="http://schemas.microsoft.com/office/drawing/2010/main" val="0"/>
                        </a:ext>
                      </a:extLst>
                    </a:blip>
                    <a:stretch>
                      <a:fillRect/>
                    </a:stretch>
                  </pic:blipFill>
                  <pic:spPr>
                    <a:xfrm>
                      <a:off x="0" y="0"/>
                      <a:ext cx="2674033" cy="2205879"/>
                    </a:xfrm>
                    <a:prstGeom prst="rect">
                      <a:avLst/>
                    </a:prstGeom>
                  </pic:spPr>
                </pic:pic>
              </a:graphicData>
            </a:graphic>
          </wp:inline>
        </w:drawing>
      </w:r>
    </w:p>
    <w:p w14:paraId="7362FDF5" w14:textId="77777777" w:rsidR="001D037F" w:rsidRDefault="001D037F" w:rsidP="001D037F"/>
    <w:p w14:paraId="4D3789EE" w14:textId="77777777" w:rsidR="001D037F" w:rsidRDefault="001D037F" w:rsidP="001D037F"/>
    <w:p w14:paraId="384A6E31" w14:textId="77777777" w:rsidR="001D037F" w:rsidRDefault="001D037F" w:rsidP="001D037F">
      <w:pPr>
        <w:spacing w:after="0" w:line="240" w:lineRule="auto"/>
        <w:jc w:val="center"/>
        <w:rPr>
          <w:b/>
          <w:bCs/>
          <w:i/>
          <w:iCs/>
          <w:sz w:val="28"/>
          <w:szCs w:val="28"/>
        </w:rPr>
      </w:pPr>
      <w:r w:rsidRPr="00C63C43">
        <w:rPr>
          <w:b/>
          <w:bCs/>
          <w:sz w:val="28"/>
          <w:szCs w:val="28"/>
        </w:rPr>
        <w:t xml:space="preserve">D.L. 19/2026: </w:t>
      </w:r>
      <w:r w:rsidRPr="00C63C43">
        <w:rPr>
          <w:b/>
          <w:bCs/>
          <w:i/>
          <w:iCs/>
          <w:sz w:val="28"/>
          <w:szCs w:val="28"/>
        </w:rPr>
        <w:t>"Ulteriori misure urgenti per l’attuazione del Piano nazionale di ripresa e resilienza (PNRR) e in materia di politiche di coesione"</w:t>
      </w:r>
    </w:p>
    <w:p w14:paraId="1A721DD4" w14:textId="77777777" w:rsidR="001D037F" w:rsidRDefault="001D037F" w:rsidP="001D037F">
      <w:pPr>
        <w:spacing w:after="0" w:line="240" w:lineRule="auto"/>
        <w:jc w:val="center"/>
        <w:rPr>
          <w:b/>
          <w:bCs/>
          <w:sz w:val="28"/>
          <w:szCs w:val="28"/>
        </w:rPr>
      </w:pPr>
      <w:r w:rsidRPr="00C63C43">
        <w:rPr>
          <w:b/>
          <w:bCs/>
          <w:sz w:val="28"/>
          <w:szCs w:val="28"/>
        </w:rPr>
        <w:t xml:space="preserve"> (</w:t>
      </w:r>
      <w:r>
        <w:rPr>
          <w:b/>
          <w:bCs/>
          <w:sz w:val="28"/>
          <w:szCs w:val="28"/>
        </w:rPr>
        <w:t>A.</w:t>
      </w:r>
      <w:r w:rsidRPr="00C63C43">
        <w:rPr>
          <w:b/>
          <w:bCs/>
          <w:sz w:val="28"/>
          <w:szCs w:val="28"/>
        </w:rPr>
        <w:t>C. 2807)</w:t>
      </w:r>
    </w:p>
    <w:p w14:paraId="307FF799" w14:textId="77777777" w:rsidR="001D037F" w:rsidRDefault="001D037F" w:rsidP="001D037F"/>
    <w:p w14:paraId="0751FDAC" w14:textId="77777777" w:rsidR="001D037F" w:rsidRDefault="001D037F" w:rsidP="001D037F"/>
    <w:p w14:paraId="68CD70AA" w14:textId="77777777" w:rsidR="001D037F" w:rsidRDefault="001D037F" w:rsidP="001D037F"/>
    <w:p w14:paraId="30D9EE2A" w14:textId="74AA9E5A" w:rsidR="001D037F" w:rsidRPr="001D037F" w:rsidRDefault="001D037F" w:rsidP="001D037F">
      <w:pPr>
        <w:jc w:val="center"/>
        <w:rPr>
          <w:b/>
          <w:bCs/>
          <w:sz w:val="40"/>
          <w:szCs w:val="40"/>
          <w:u w:val="single"/>
        </w:rPr>
      </w:pPr>
      <w:r w:rsidRPr="001D037F">
        <w:rPr>
          <w:b/>
          <w:bCs/>
          <w:sz w:val="40"/>
          <w:szCs w:val="40"/>
          <w:u w:val="single"/>
        </w:rPr>
        <w:t>EMENDAMENTI UPI</w:t>
      </w:r>
    </w:p>
    <w:p w14:paraId="3B4406C5" w14:textId="77777777" w:rsidR="001D037F" w:rsidRDefault="001D037F" w:rsidP="001D037F"/>
    <w:p w14:paraId="7BB44001" w14:textId="77777777" w:rsidR="001D037F" w:rsidRDefault="001D037F" w:rsidP="001D037F"/>
    <w:p w14:paraId="5778CD3B" w14:textId="77777777" w:rsidR="001D037F" w:rsidRDefault="001D037F" w:rsidP="001D037F"/>
    <w:p w14:paraId="7BA9E300" w14:textId="77777777" w:rsidR="001D037F" w:rsidRDefault="001D037F" w:rsidP="001D037F"/>
    <w:p w14:paraId="4062E538" w14:textId="77777777" w:rsidR="001D037F" w:rsidRDefault="001D037F" w:rsidP="001D037F"/>
    <w:p w14:paraId="04A7D066" w14:textId="77777777" w:rsidR="001D037F" w:rsidRDefault="001D037F" w:rsidP="001D037F"/>
    <w:p w14:paraId="554B8E81" w14:textId="77777777" w:rsidR="001D037F" w:rsidRDefault="001D037F" w:rsidP="001D037F"/>
    <w:p w14:paraId="6F5C18FB" w14:textId="77777777" w:rsidR="001D037F" w:rsidRDefault="001D037F" w:rsidP="001D037F"/>
    <w:p w14:paraId="547A6CA5" w14:textId="77777777" w:rsidR="001D037F" w:rsidRDefault="001D037F" w:rsidP="001D037F"/>
    <w:p w14:paraId="5752883F" w14:textId="77777777" w:rsidR="001D037F" w:rsidRDefault="001D037F" w:rsidP="001D037F"/>
    <w:p w14:paraId="241F4E30" w14:textId="77777777" w:rsidR="001D037F" w:rsidRDefault="001D037F" w:rsidP="001D037F"/>
    <w:p w14:paraId="72EF4BC3" w14:textId="2D85576E" w:rsidR="008519A3" w:rsidRDefault="008519A3" w:rsidP="001D037F">
      <w:pPr>
        <w:jc w:val="right"/>
      </w:pPr>
      <w:r>
        <w:lastRenderedPageBreak/>
        <w:t>SEMPLIFICAZIONE PROCEDURE DI RENDICONTAZIONE</w:t>
      </w:r>
    </w:p>
    <w:p w14:paraId="59452D84" w14:textId="77777777" w:rsidR="008519A3" w:rsidRDefault="008519A3" w:rsidP="008519A3">
      <w:pPr>
        <w:jc w:val="right"/>
      </w:pPr>
    </w:p>
    <w:p w14:paraId="0E40A3B6" w14:textId="77777777" w:rsidR="008519A3" w:rsidRPr="008519A3" w:rsidRDefault="008519A3" w:rsidP="008519A3">
      <w:pPr>
        <w:jc w:val="right"/>
        <w:rPr>
          <w:b/>
          <w:bCs/>
        </w:rPr>
      </w:pPr>
    </w:p>
    <w:p w14:paraId="2E5BB1ED" w14:textId="77777777" w:rsidR="008519A3" w:rsidRPr="008519A3" w:rsidRDefault="008519A3" w:rsidP="008519A3">
      <w:pPr>
        <w:jc w:val="center"/>
        <w:rPr>
          <w:b/>
          <w:bCs/>
          <w:i/>
          <w:iCs/>
        </w:rPr>
      </w:pPr>
      <w:r w:rsidRPr="008519A3">
        <w:rPr>
          <w:b/>
          <w:bCs/>
        </w:rPr>
        <w:t>Articolo 1.</w:t>
      </w:r>
      <w:r w:rsidRPr="008519A3">
        <w:rPr>
          <w:b/>
          <w:bCs/>
        </w:rPr>
        <w:br/>
      </w:r>
      <w:r w:rsidRPr="008519A3">
        <w:rPr>
          <w:b/>
          <w:bCs/>
          <w:i/>
          <w:iCs/>
        </w:rPr>
        <w:t>(Disposizioni in materia di responsabilità per il conseguimento degli obiettivi del PNRR)</w:t>
      </w:r>
    </w:p>
    <w:p w14:paraId="4C6FF692" w14:textId="77777777" w:rsidR="008519A3" w:rsidRDefault="008519A3" w:rsidP="008519A3">
      <w:pPr>
        <w:jc w:val="both"/>
      </w:pPr>
    </w:p>
    <w:p w14:paraId="7C7498F2" w14:textId="274A9E31" w:rsidR="006166C1" w:rsidRPr="00D17C25" w:rsidRDefault="006166C1" w:rsidP="00357B82">
      <w:pPr>
        <w:jc w:val="both"/>
        <w:rPr>
          <w:b/>
          <w:bCs/>
        </w:rPr>
      </w:pPr>
      <w:r>
        <w:t>Al comma 3, dopo le parole “</w:t>
      </w:r>
      <w:r w:rsidRPr="006166C1">
        <w:t>azioni di supporto tecnico specialistico</w:t>
      </w:r>
      <w:r>
        <w:t>”</w:t>
      </w:r>
      <w:r w:rsidR="00357B82">
        <w:t>,</w:t>
      </w:r>
      <w:r>
        <w:t xml:space="preserve"> </w:t>
      </w:r>
      <w:r w:rsidR="00357B82">
        <w:t xml:space="preserve">sono aggiunte </w:t>
      </w:r>
      <w:r>
        <w:t>le seguenti</w:t>
      </w:r>
      <w:r w:rsidR="00357B82">
        <w:t xml:space="preserve"> parole</w:t>
      </w:r>
      <w:r>
        <w:t xml:space="preserve">: </w:t>
      </w:r>
      <w:r w:rsidRPr="00D17C25">
        <w:rPr>
          <w:b/>
          <w:bCs/>
        </w:rPr>
        <w:t>“</w:t>
      </w:r>
      <w:r w:rsidR="00D17C25" w:rsidRPr="00D17C25">
        <w:rPr>
          <w:b/>
          <w:bCs/>
        </w:rPr>
        <w:t>limitando</w:t>
      </w:r>
      <w:r w:rsidR="006F338B">
        <w:rPr>
          <w:b/>
          <w:bCs/>
        </w:rPr>
        <w:t xml:space="preserve"> gli</w:t>
      </w:r>
      <w:r w:rsidR="00D17C25" w:rsidRPr="00D17C25">
        <w:rPr>
          <w:b/>
          <w:bCs/>
        </w:rPr>
        <w:t xml:space="preserve"> </w:t>
      </w:r>
      <w:r w:rsidR="002E0282" w:rsidRPr="00D17C25">
        <w:rPr>
          <w:b/>
          <w:bCs/>
        </w:rPr>
        <w:t>obblighi documentali o sostanziali a carico dei soggetti attuatori a quelli espressamente previsti dal Decreto legislativo 31 marzo 2023, n. 36, o dal Decreto legislativo 18 aprile 2016, n. 50, ove ancora applicabile</w:t>
      </w:r>
      <w:r w:rsidRPr="00D17C25">
        <w:rPr>
          <w:b/>
          <w:bCs/>
        </w:rPr>
        <w:t>”</w:t>
      </w:r>
      <w:r w:rsidR="00D17C25" w:rsidRPr="00D17C25">
        <w:rPr>
          <w:b/>
          <w:bCs/>
        </w:rPr>
        <w:t>.</w:t>
      </w:r>
    </w:p>
    <w:p w14:paraId="10CD0CC8" w14:textId="77777777" w:rsidR="002E0282" w:rsidRPr="002E0282" w:rsidRDefault="002E0282" w:rsidP="002E0282">
      <w:pPr>
        <w:jc w:val="both"/>
        <w:rPr>
          <w:i/>
          <w:iCs/>
        </w:rPr>
      </w:pPr>
    </w:p>
    <w:p w14:paraId="10C00C99" w14:textId="2CC823C4" w:rsidR="006166C1" w:rsidRPr="00357B82" w:rsidRDefault="002E0282" w:rsidP="00357B82">
      <w:pPr>
        <w:jc w:val="both"/>
        <w:rPr>
          <w:i/>
          <w:iCs/>
        </w:rPr>
      </w:pPr>
      <w:r w:rsidRPr="002E0282">
        <w:rPr>
          <w:i/>
          <w:iCs/>
        </w:rPr>
        <w:t xml:space="preserve"> </w:t>
      </w:r>
      <w:r w:rsidR="006166C1" w:rsidRPr="00357B82">
        <w:rPr>
          <w:i/>
          <w:iCs/>
        </w:rPr>
        <w:t>MOTIVAZIONE</w:t>
      </w:r>
    </w:p>
    <w:p w14:paraId="44A4F560" w14:textId="77777777" w:rsidR="002E0282" w:rsidRDefault="006166C1" w:rsidP="00357B82">
      <w:pPr>
        <w:jc w:val="both"/>
      </w:pPr>
      <w:r w:rsidRPr="00357B82">
        <w:rPr>
          <w:i/>
          <w:iCs/>
        </w:rPr>
        <w:t>La Piattaforma «</w:t>
      </w:r>
      <w:proofErr w:type="spellStart"/>
      <w:r w:rsidRPr="00357B82">
        <w:rPr>
          <w:i/>
          <w:iCs/>
        </w:rPr>
        <w:t>ReGiS</w:t>
      </w:r>
      <w:proofErr w:type="spellEnd"/>
      <w:r w:rsidRPr="00357B82">
        <w:rPr>
          <w:i/>
          <w:iCs/>
        </w:rPr>
        <w:t>» è il sistema informatico di riferimento per la rendicontazione dei cronoprogrammi procedurali e finanziari degli interventi PNRR</w:t>
      </w:r>
      <w:r w:rsidR="00357B82" w:rsidRPr="00357B82">
        <w:rPr>
          <w:i/>
          <w:iCs/>
        </w:rPr>
        <w:t>. La previsione esplicita dell’implementazione delle sue funzionalità nella fase di conclusione degli interventi PNRR deve avere l’obiettivo di semplificare le procedure evitando di appesantire gli adempimenti informativi degli enti attuatori.</w:t>
      </w:r>
      <w:r w:rsidR="00357B82">
        <w:t xml:space="preserve"> </w:t>
      </w:r>
    </w:p>
    <w:p w14:paraId="35D65775" w14:textId="77777777" w:rsidR="002E0282" w:rsidRPr="002E0282" w:rsidRDefault="002E0282" w:rsidP="002E0282">
      <w:pPr>
        <w:jc w:val="both"/>
      </w:pPr>
      <w:r w:rsidRPr="002E0282">
        <w:rPr>
          <w:i/>
          <w:iCs/>
        </w:rPr>
        <w:t>In applicazione del principio di legalità e di tipicità dell’azione amministrativa, di cui alla legge 7 agosto 1990, n. 241, gli obblighi posti a carico dei soggetti attuatori devono essere previsti da una fonte normativa o regolatoria che ne determini compiutamente presupposti, contenuto, modalità di adempimento, termini e relative responsabilità. In mancanza di tale disciplina, le richieste formulate non sono giuridicamente né operativamente attuabili.</w:t>
      </w:r>
      <w:r w:rsidRPr="002E0282">
        <w:t xml:space="preserve"> </w:t>
      </w:r>
      <w:r w:rsidRPr="002E0282">
        <w:rPr>
          <w:i/>
          <w:iCs/>
        </w:rPr>
        <w:t xml:space="preserve">Le richieste di integrazioni documentali o informative che non trovino espresso fondamento in disposizioni normative vigenti o in atti amministrativi generali adottati in attuazione delle medesime non costituiscono obblighi giuridicamente vincolanti per i soggetti attuatori e non sono, pertanto, esigibili nei loro confronti. </w:t>
      </w:r>
    </w:p>
    <w:p w14:paraId="1C7E5C1E" w14:textId="7AE5E55D" w:rsidR="00357B82" w:rsidRDefault="002E0282" w:rsidP="002E0282">
      <w:pPr>
        <w:jc w:val="both"/>
      </w:pPr>
      <w:r w:rsidRPr="002E0282">
        <w:rPr>
          <w:i/>
          <w:iCs/>
        </w:rPr>
        <w:t xml:space="preserve"> La mancata produzione della documentazione o delle informazioni richieste in assenza del suddetto fondamento non può assumere rilievo ai fini della rendicontazione, delle attività di controllo, dell’erogazione delle risorse o dell’eventuale attivazione dei poteri sostitutivi. </w:t>
      </w:r>
      <w:r w:rsidR="008519A3">
        <w:br w:type="page"/>
      </w:r>
    </w:p>
    <w:p w14:paraId="35569969" w14:textId="278E4774" w:rsidR="00357B82" w:rsidRDefault="006F338B" w:rsidP="00357B82">
      <w:pPr>
        <w:jc w:val="right"/>
      </w:pPr>
      <w:r>
        <w:lastRenderedPageBreak/>
        <w:t>TERMINI PER LA CONCLUSIONE DEGLI INTERVENTI DI EDILIZIA S</w:t>
      </w:r>
      <w:r w:rsidR="007E797A">
        <w:t>COLASTICA</w:t>
      </w:r>
    </w:p>
    <w:p w14:paraId="429732BC" w14:textId="77777777" w:rsidR="00357B82" w:rsidRDefault="00357B82" w:rsidP="00357B82">
      <w:pPr>
        <w:jc w:val="right"/>
      </w:pPr>
    </w:p>
    <w:p w14:paraId="454FADF7" w14:textId="77777777" w:rsidR="00357B82" w:rsidRDefault="00357B82" w:rsidP="00357B82">
      <w:pPr>
        <w:jc w:val="right"/>
      </w:pPr>
    </w:p>
    <w:p w14:paraId="35DF9EFF" w14:textId="3C3D1646" w:rsidR="00357B82" w:rsidRPr="00357B82" w:rsidRDefault="00357B82" w:rsidP="00357B82">
      <w:pPr>
        <w:jc w:val="center"/>
        <w:rPr>
          <w:b/>
          <w:bCs/>
        </w:rPr>
      </w:pPr>
      <w:r w:rsidRPr="00357B82">
        <w:rPr>
          <w:b/>
          <w:bCs/>
        </w:rPr>
        <w:t>Articolo 3.</w:t>
      </w:r>
      <w:r w:rsidRPr="00357B82">
        <w:rPr>
          <w:b/>
          <w:bCs/>
        </w:rPr>
        <w:br/>
      </w:r>
      <w:r w:rsidRPr="00357B82">
        <w:rPr>
          <w:b/>
          <w:bCs/>
          <w:i/>
          <w:iCs/>
        </w:rPr>
        <w:t>(Disposizioni in materia di rafforzamento della capacità amministrativa dei soggetti attuatori delle misure PNRR)</w:t>
      </w:r>
    </w:p>
    <w:p w14:paraId="131DBB6D" w14:textId="77777777" w:rsidR="00357B82" w:rsidRDefault="00357B82" w:rsidP="00357B82">
      <w:pPr>
        <w:jc w:val="both"/>
      </w:pPr>
    </w:p>
    <w:p w14:paraId="41457409" w14:textId="77777777" w:rsidR="006F338B" w:rsidRDefault="00357B82" w:rsidP="00357B82">
      <w:pPr>
        <w:jc w:val="both"/>
      </w:pPr>
      <w:r>
        <w:t xml:space="preserve">Dopo il comma 2, è aggiunto il seguente comma: </w:t>
      </w:r>
    </w:p>
    <w:p w14:paraId="0FFEE220" w14:textId="45F472F0" w:rsidR="008418E6" w:rsidRPr="00D17C25" w:rsidRDefault="00357B82" w:rsidP="00357B82">
      <w:pPr>
        <w:jc w:val="both"/>
        <w:rPr>
          <w:b/>
          <w:bCs/>
        </w:rPr>
      </w:pPr>
      <w:r w:rsidRPr="00D17C25">
        <w:rPr>
          <w:b/>
          <w:bCs/>
        </w:rPr>
        <w:t xml:space="preserve">“2-bis. </w:t>
      </w:r>
      <w:r w:rsidR="00076D8B" w:rsidRPr="00D17C25">
        <w:rPr>
          <w:b/>
          <w:bCs/>
        </w:rPr>
        <w:t>Al fine di garantire il raggiungimento dei target previsti nel PNRR per il potenziamento dell’offerta dei servizi di istruzione, per gli interventi che rientrano ne</w:t>
      </w:r>
      <w:r w:rsidRPr="00D17C25">
        <w:rPr>
          <w:b/>
          <w:bCs/>
        </w:rPr>
        <w:t xml:space="preserve">gli </w:t>
      </w:r>
      <w:r w:rsidR="00076D8B" w:rsidRPr="00D17C25">
        <w:rPr>
          <w:b/>
          <w:bCs/>
        </w:rPr>
        <w:t xml:space="preserve">investimenti </w:t>
      </w:r>
      <w:r w:rsidRPr="00D17C25">
        <w:rPr>
          <w:b/>
          <w:bCs/>
        </w:rPr>
        <w:t xml:space="preserve">previsti nella Missione </w:t>
      </w:r>
      <w:r w:rsidR="00076D8B" w:rsidRPr="00D17C25">
        <w:rPr>
          <w:b/>
          <w:bCs/>
        </w:rPr>
        <w:t>4-C1</w:t>
      </w:r>
      <w:r w:rsidR="00985A05" w:rsidRPr="00D17C25">
        <w:rPr>
          <w:b/>
          <w:bCs/>
        </w:rPr>
        <w:t xml:space="preserve"> Investimenti 1.2, 1.3, 3.3</w:t>
      </w:r>
      <w:r w:rsidR="00076D8B" w:rsidRPr="00D17C25">
        <w:rPr>
          <w:b/>
          <w:bCs/>
        </w:rPr>
        <w:t xml:space="preserve"> </w:t>
      </w:r>
      <w:r w:rsidR="008418E6" w:rsidRPr="00D17C25">
        <w:rPr>
          <w:b/>
          <w:bCs/>
        </w:rPr>
        <w:t xml:space="preserve">il termine per </w:t>
      </w:r>
      <w:r w:rsidR="00076D8B" w:rsidRPr="00D17C25">
        <w:rPr>
          <w:b/>
          <w:bCs/>
        </w:rPr>
        <w:t xml:space="preserve">la conclusione dei lavori </w:t>
      </w:r>
      <w:r w:rsidR="008418E6" w:rsidRPr="00D17C25">
        <w:rPr>
          <w:b/>
          <w:bCs/>
        </w:rPr>
        <w:t xml:space="preserve">è </w:t>
      </w:r>
      <w:r w:rsidR="00076D8B" w:rsidRPr="00D17C25">
        <w:rPr>
          <w:b/>
          <w:bCs/>
        </w:rPr>
        <w:t>il 30 giugno 2026,</w:t>
      </w:r>
      <w:r w:rsidR="008418E6" w:rsidRPr="00D17C25">
        <w:rPr>
          <w:b/>
          <w:bCs/>
        </w:rPr>
        <w:t xml:space="preserve"> </w:t>
      </w:r>
      <w:r w:rsidR="00F14866" w:rsidRPr="00D17C25">
        <w:rPr>
          <w:b/>
          <w:bCs/>
        </w:rPr>
        <w:t>ferm</w:t>
      </w:r>
      <w:r w:rsidR="00032BAD" w:rsidRPr="00D17C25">
        <w:rPr>
          <w:b/>
          <w:bCs/>
        </w:rPr>
        <w:t>o</w:t>
      </w:r>
      <w:r w:rsidR="00F14866" w:rsidRPr="00D17C25">
        <w:rPr>
          <w:b/>
          <w:bCs/>
        </w:rPr>
        <w:t xml:space="preserve"> restando </w:t>
      </w:r>
      <w:r w:rsidR="008418E6" w:rsidRPr="00D17C25">
        <w:rPr>
          <w:b/>
          <w:bCs/>
        </w:rPr>
        <w:t xml:space="preserve">il termine </w:t>
      </w:r>
      <w:r w:rsidR="00032BAD" w:rsidRPr="00D17C25">
        <w:rPr>
          <w:b/>
          <w:bCs/>
        </w:rPr>
        <w:t xml:space="preserve">del 31 dicembre 2026 </w:t>
      </w:r>
      <w:r w:rsidR="008418E6" w:rsidRPr="00D17C25">
        <w:rPr>
          <w:b/>
          <w:bCs/>
        </w:rPr>
        <w:t xml:space="preserve">per </w:t>
      </w:r>
      <w:r w:rsidR="00076D8B" w:rsidRPr="00D17C25">
        <w:rPr>
          <w:b/>
          <w:bCs/>
        </w:rPr>
        <w:t xml:space="preserve">il </w:t>
      </w:r>
      <w:r w:rsidR="002E0282" w:rsidRPr="00D17C25">
        <w:rPr>
          <w:b/>
          <w:bCs/>
        </w:rPr>
        <w:t xml:space="preserve">collaudo </w:t>
      </w:r>
      <w:r w:rsidR="006F0B87" w:rsidRPr="00D17C25">
        <w:rPr>
          <w:b/>
          <w:bCs/>
        </w:rPr>
        <w:t>tecnico-amministrativo</w:t>
      </w:r>
      <w:r w:rsidR="002E0282" w:rsidRPr="00D17C25">
        <w:rPr>
          <w:b/>
          <w:bCs/>
        </w:rPr>
        <w:t xml:space="preserve"> dell’opera </w:t>
      </w:r>
      <w:r w:rsidR="00076D8B" w:rsidRPr="00D17C25">
        <w:rPr>
          <w:b/>
          <w:bCs/>
        </w:rPr>
        <w:t xml:space="preserve">e </w:t>
      </w:r>
      <w:r w:rsidR="00032BAD" w:rsidRPr="00D17C25">
        <w:rPr>
          <w:b/>
          <w:bCs/>
        </w:rPr>
        <w:t xml:space="preserve">per </w:t>
      </w:r>
      <w:r w:rsidR="008418E6" w:rsidRPr="00D17C25">
        <w:rPr>
          <w:b/>
          <w:bCs/>
        </w:rPr>
        <w:t>la rendicontazione finale dell’intervento”</w:t>
      </w:r>
      <w:r w:rsidR="00076D8B" w:rsidRPr="00D17C25">
        <w:rPr>
          <w:b/>
          <w:bCs/>
        </w:rPr>
        <w:t>.</w:t>
      </w:r>
    </w:p>
    <w:p w14:paraId="6447C038" w14:textId="77777777" w:rsidR="008418E6" w:rsidRDefault="008418E6" w:rsidP="00357B82">
      <w:pPr>
        <w:jc w:val="both"/>
      </w:pPr>
    </w:p>
    <w:p w14:paraId="2FA6023B" w14:textId="77777777" w:rsidR="008418E6" w:rsidRPr="00357B82" w:rsidRDefault="008418E6" w:rsidP="008418E6">
      <w:pPr>
        <w:jc w:val="both"/>
        <w:rPr>
          <w:i/>
          <w:iCs/>
        </w:rPr>
      </w:pPr>
      <w:r w:rsidRPr="00357B82">
        <w:rPr>
          <w:i/>
          <w:iCs/>
        </w:rPr>
        <w:t>MOTIVAZIONE</w:t>
      </w:r>
    </w:p>
    <w:p w14:paraId="6F31F090" w14:textId="15430CEF" w:rsidR="00985A05" w:rsidRPr="00D17C25" w:rsidRDefault="00985A05">
      <w:pPr>
        <w:rPr>
          <w:rFonts w:cstheme="minorHAnsi"/>
          <w:i/>
          <w:iCs/>
          <w:sz w:val="26"/>
          <w:szCs w:val="26"/>
        </w:rPr>
      </w:pPr>
      <w:r w:rsidRPr="00D17C25">
        <w:rPr>
          <w:rFonts w:cstheme="minorHAnsi"/>
          <w:i/>
          <w:iCs/>
          <w:sz w:val="26"/>
          <w:szCs w:val="26"/>
        </w:rPr>
        <w:t>Il Dl 19/26 deve chiarire con norma i termini di scadenza della tempistica relativa alle misure in capo alle Province (Mense Missione 4-C1 – Investimento 1.2,</w:t>
      </w:r>
      <w:r w:rsidRPr="00D17C25">
        <w:rPr>
          <w:rFonts w:ascii="Times New Roman" w:eastAsia="Times New Roman" w:hAnsi="Times New Roman" w:cs="Times New Roman"/>
          <w:i/>
          <w:iCs/>
          <w:kern w:val="36"/>
          <w:sz w:val="48"/>
          <w:szCs w:val="48"/>
          <w:lang w:eastAsia="it-IT"/>
          <w14:ligatures w14:val="none"/>
        </w:rPr>
        <w:t xml:space="preserve"> </w:t>
      </w:r>
      <w:r w:rsidRPr="00D17C25">
        <w:rPr>
          <w:rFonts w:cstheme="minorHAnsi"/>
          <w:i/>
          <w:iCs/>
          <w:sz w:val="26"/>
          <w:szCs w:val="26"/>
        </w:rPr>
        <w:t>Potenziamento infrastrutture per lo sport a scuola Missione 4-C1 – Istruzione e ricerca – Investimento 1.3 Messa in sicurezza e riqualificazione delle scuole Missione 4-C1 - Investimento 3.3</w:t>
      </w:r>
      <w:r w:rsidR="00F14866" w:rsidRPr="00D17C25">
        <w:rPr>
          <w:rFonts w:cstheme="minorHAnsi"/>
          <w:i/>
          <w:iCs/>
          <w:sz w:val="26"/>
          <w:szCs w:val="26"/>
        </w:rPr>
        <w:t>;</w:t>
      </w:r>
      <w:r w:rsidR="00F14866" w:rsidRPr="00D17C25">
        <w:rPr>
          <w:rFonts w:cstheme="minorHAnsi"/>
          <w:i/>
          <w:iCs/>
          <w:kern w:val="36"/>
          <w:sz w:val="26"/>
          <w:szCs w:val="26"/>
        </w:rPr>
        <w:t xml:space="preserve"> </w:t>
      </w:r>
      <w:r w:rsidR="00F14866" w:rsidRPr="00D17C25">
        <w:rPr>
          <w:rFonts w:cstheme="minorHAnsi"/>
          <w:i/>
          <w:iCs/>
          <w:sz w:val="26"/>
          <w:szCs w:val="26"/>
        </w:rPr>
        <w:t>riguardo</w:t>
      </w:r>
      <w:r w:rsidRPr="00D17C25">
        <w:rPr>
          <w:rFonts w:cstheme="minorHAnsi"/>
          <w:i/>
          <w:iCs/>
          <w:sz w:val="26"/>
          <w:szCs w:val="26"/>
        </w:rPr>
        <w:t xml:space="preserve"> a conclusione delle opere, collaudo delle stesse e rendicontazione finale.</w:t>
      </w:r>
    </w:p>
    <w:p w14:paraId="622BE20E" w14:textId="77777777" w:rsidR="002E0282" w:rsidRPr="00D17C25" w:rsidRDefault="00985A05" w:rsidP="002E0282">
      <w:pPr>
        <w:spacing w:line="240" w:lineRule="auto"/>
        <w:jc w:val="both"/>
        <w:rPr>
          <w:rFonts w:cstheme="minorHAnsi"/>
          <w:i/>
          <w:iCs/>
          <w:color w:val="FF0000"/>
          <w:sz w:val="26"/>
          <w:szCs w:val="26"/>
        </w:rPr>
      </w:pPr>
      <w:r w:rsidRPr="00D17C25">
        <w:rPr>
          <w:rFonts w:cstheme="minorHAnsi"/>
          <w:i/>
          <w:iCs/>
          <w:sz w:val="26"/>
          <w:szCs w:val="26"/>
        </w:rPr>
        <w:t xml:space="preserve">Rispetto a questi investimenti, infatti, </w:t>
      </w:r>
      <w:r w:rsidR="00F14866" w:rsidRPr="00D17C25">
        <w:rPr>
          <w:rFonts w:cstheme="minorHAnsi"/>
          <w:i/>
          <w:iCs/>
          <w:sz w:val="26"/>
          <w:szCs w:val="26"/>
        </w:rPr>
        <w:t xml:space="preserve">ad oggi </w:t>
      </w:r>
      <w:r w:rsidRPr="00D17C25">
        <w:rPr>
          <w:rFonts w:cstheme="minorHAnsi"/>
          <w:i/>
          <w:iCs/>
          <w:sz w:val="26"/>
          <w:szCs w:val="26"/>
        </w:rPr>
        <w:t xml:space="preserve">permane l’incertezza </w:t>
      </w:r>
      <w:r w:rsidR="00F14866" w:rsidRPr="00D17C25">
        <w:rPr>
          <w:rFonts w:cstheme="minorHAnsi"/>
          <w:i/>
          <w:iCs/>
          <w:sz w:val="26"/>
          <w:szCs w:val="26"/>
        </w:rPr>
        <w:t>e s</w:t>
      </w:r>
      <w:r w:rsidRPr="00D17C25">
        <w:rPr>
          <w:rFonts w:cstheme="minorHAnsi"/>
          <w:i/>
          <w:iCs/>
          <w:sz w:val="26"/>
          <w:szCs w:val="26"/>
        </w:rPr>
        <w:t>enza indicazioni chiare su</w:t>
      </w:r>
      <w:r w:rsidR="00F14866" w:rsidRPr="00D17C25">
        <w:rPr>
          <w:rFonts w:cstheme="minorHAnsi"/>
          <w:i/>
          <w:iCs/>
          <w:sz w:val="26"/>
          <w:szCs w:val="26"/>
        </w:rPr>
        <w:t xml:space="preserve">i termini </w:t>
      </w:r>
      <w:r w:rsidRPr="00D17C25">
        <w:rPr>
          <w:rFonts w:cstheme="minorHAnsi"/>
          <w:i/>
          <w:iCs/>
          <w:sz w:val="26"/>
          <w:szCs w:val="26"/>
        </w:rPr>
        <w:t>di chiusura amministrativa dei progetti, gli uffici tecnici e finanziari delle Province si trovano in un quadro di incertezza che rischia di ritardare le rendicontazioni finali.</w:t>
      </w:r>
      <w:r w:rsidRPr="00D17C25">
        <w:rPr>
          <w:rFonts w:cstheme="minorHAnsi"/>
          <w:i/>
          <w:iCs/>
          <w:color w:val="FF0000"/>
          <w:sz w:val="26"/>
          <w:szCs w:val="26"/>
        </w:rPr>
        <w:t xml:space="preserve"> </w:t>
      </w:r>
    </w:p>
    <w:p w14:paraId="10BD7DEE" w14:textId="6A7A518A" w:rsidR="008418E6" w:rsidRPr="00D17C25" w:rsidRDefault="002E0282" w:rsidP="002E0282">
      <w:pPr>
        <w:spacing w:line="240" w:lineRule="auto"/>
        <w:jc w:val="both"/>
        <w:rPr>
          <w:rFonts w:cstheme="minorHAnsi"/>
          <w:i/>
          <w:iCs/>
          <w:sz w:val="26"/>
          <w:szCs w:val="26"/>
        </w:rPr>
      </w:pPr>
      <w:r w:rsidRPr="00D17C25">
        <w:rPr>
          <w:rFonts w:cstheme="minorHAnsi"/>
          <w:i/>
          <w:iCs/>
          <w:sz w:val="26"/>
          <w:szCs w:val="26"/>
        </w:rPr>
        <w:t xml:space="preserve">L’emendamento </w:t>
      </w:r>
      <w:r w:rsidR="00032BAD" w:rsidRPr="00D17C25">
        <w:rPr>
          <w:rFonts w:cstheme="minorHAnsi"/>
          <w:i/>
          <w:iCs/>
          <w:sz w:val="26"/>
          <w:szCs w:val="26"/>
        </w:rPr>
        <w:t>mira, dunque,</w:t>
      </w:r>
      <w:r w:rsidRPr="00D17C25">
        <w:rPr>
          <w:rFonts w:cstheme="minorHAnsi"/>
          <w:i/>
          <w:iCs/>
          <w:sz w:val="26"/>
          <w:szCs w:val="26"/>
        </w:rPr>
        <w:t xml:space="preserve"> a precisare che il collaudo tecnico-amministrativo e la rendicontazione finale possono essere completati entro il 3</w:t>
      </w:r>
      <w:r w:rsidR="00032BAD" w:rsidRPr="00D17C25">
        <w:rPr>
          <w:rFonts w:cstheme="minorHAnsi"/>
          <w:i/>
          <w:iCs/>
          <w:sz w:val="26"/>
          <w:szCs w:val="26"/>
        </w:rPr>
        <w:t>1</w:t>
      </w:r>
      <w:r w:rsidRPr="00D17C25">
        <w:rPr>
          <w:rFonts w:cstheme="minorHAnsi"/>
          <w:i/>
          <w:iCs/>
          <w:sz w:val="26"/>
          <w:szCs w:val="26"/>
        </w:rPr>
        <w:t xml:space="preserve"> dicembre 2026, senza che ciò incida sulla valutazione del conseguimento del target al 30 giugno 2026. </w:t>
      </w:r>
      <w:r w:rsidR="008418E6" w:rsidRPr="00D17C25">
        <w:rPr>
          <w:rFonts w:cstheme="minorHAnsi"/>
          <w:i/>
          <w:iCs/>
          <w:sz w:val="26"/>
          <w:szCs w:val="26"/>
        </w:rPr>
        <w:br w:type="page"/>
      </w:r>
    </w:p>
    <w:p w14:paraId="3F94E07A" w14:textId="3E7E4512" w:rsidR="008418E6" w:rsidRDefault="008418E6" w:rsidP="008418E6">
      <w:pPr>
        <w:jc w:val="right"/>
      </w:pPr>
      <w:r>
        <w:lastRenderedPageBreak/>
        <w:t xml:space="preserve">RAFFORZAMENTO DELLA CAPACITA’ AMMINISTRATIVA </w:t>
      </w:r>
      <w:r w:rsidR="00D17C25">
        <w:t>D</w:t>
      </w:r>
      <w:r>
        <w:t>EI SOGGETTI ATTUATORI</w:t>
      </w:r>
    </w:p>
    <w:p w14:paraId="4D74792B" w14:textId="77777777" w:rsidR="008418E6" w:rsidRDefault="008418E6" w:rsidP="008418E6">
      <w:pPr>
        <w:jc w:val="right"/>
      </w:pPr>
    </w:p>
    <w:p w14:paraId="08594017" w14:textId="77777777" w:rsidR="008418E6" w:rsidRDefault="008418E6" w:rsidP="008418E6">
      <w:pPr>
        <w:jc w:val="right"/>
      </w:pPr>
    </w:p>
    <w:p w14:paraId="62FC612F" w14:textId="77777777" w:rsidR="008418E6" w:rsidRPr="00357B82" w:rsidRDefault="008418E6" w:rsidP="008418E6">
      <w:pPr>
        <w:jc w:val="center"/>
        <w:rPr>
          <w:b/>
          <w:bCs/>
        </w:rPr>
      </w:pPr>
      <w:r w:rsidRPr="00357B82">
        <w:rPr>
          <w:b/>
          <w:bCs/>
        </w:rPr>
        <w:t>Articolo 3.</w:t>
      </w:r>
      <w:r w:rsidRPr="00357B82">
        <w:rPr>
          <w:b/>
          <w:bCs/>
        </w:rPr>
        <w:br/>
      </w:r>
      <w:r w:rsidRPr="00357B82">
        <w:rPr>
          <w:b/>
          <w:bCs/>
          <w:i/>
          <w:iCs/>
        </w:rPr>
        <w:t>(Disposizioni in materia di rafforzamento della capacità amministrativa dei soggetti attuatori delle misure PNRR)</w:t>
      </w:r>
    </w:p>
    <w:p w14:paraId="07293613" w14:textId="77777777" w:rsidR="008418E6" w:rsidRDefault="008418E6" w:rsidP="008418E6">
      <w:pPr>
        <w:jc w:val="both"/>
      </w:pPr>
    </w:p>
    <w:p w14:paraId="530C1CE4" w14:textId="4D99BC11" w:rsidR="008418E6" w:rsidRPr="00D17C25" w:rsidRDefault="008418E6" w:rsidP="008418E6">
      <w:pPr>
        <w:jc w:val="both"/>
        <w:rPr>
          <w:b/>
          <w:bCs/>
        </w:rPr>
      </w:pPr>
      <w:r>
        <w:t>Al comma 1, dopo le parole “</w:t>
      </w:r>
      <w:r w:rsidRPr="008418E6">
        <w:t>sub-investimento 2.2.1 Assistenza tecnica a livello centrale e locale» della Missione 1, Componente 1, del PNRR</w:t>
      </w:r>
      <w:r w:rsidR="007E797A" w:rsidRPr="007E797A">
        <w:t>”</w:t>
      </w:r>
      <w:r w:rsidRPr="00D17C25">
        <w:rPr>
          <w:b/>
          <w:bCs/>
        </w:rPr>
        <w:t xml:space="preserve"> sono aggiunte le seguenti parole: “e per rafforzare la capacità amministrativa delle Regioni e degli enti locali nella rendicontazione </w:t>
      </w:r>
      <w:r w:rsidR="00F14866" w:rsidRPr="00D17C25">
        <w:rPr>
          <w:b/>
          <w:bCs/>
        </w:rPr>
        <w:t>finale</w:t>
      </w:r>
      <w:r w:rsidR="00C26739" w:rsidRPr="00D17C25">
        <w:rPr>
          <w:b/>
          <w:bCs/>
        </w:rPr>
        <w:t xml:space="preserve"> delle misure del PNRR di loro competenza,”</w:t>
      </w:r>
      <w:r w:rsidRPr="00D17C25">
        <w:rPr>
          <w:b/>
          <w:bCs/>
        </w:rPr>
        <w:t>.</w:t>
      </w:r>
    </w:p>
    <w:p w14:paraId="12BD3431" w14:textId="77777777" w:rsidR="008418E6" w:rsidRDefault="008418E6" w:rsidP="008418E6">
      <w:pPr>
        <w:jc w:val="both"/>
      </w:pPr>
    </w:p>
    <w:p w14:paraId="7F87FBB6" w14:textId="77777777" w:rsidR="008418E6" w:rsidRPr="00357B82" w:rsidRDefault="008418E6" w:rsidP="008418E6">
      <w:pPr>
        <w:jc w:val="both"/>
        <w:rPr>
          <w:i/>
          <w:iCs/>
        </w:rPr>
      </w:pPr>
      <w:r w:rsidRPr="00357B82">
        <w:rPr>
          <w:i/>
          <w:iCs/>
        </w:rPr>
        <w:t>MOTIVAZIONE</w:t>
      </w:r>
    </w:p>
    <w:p w14:paraId="1ED07300" w14:textId="79DF45B2" w:rsidR="008418E6" w:rsidRPr="00C26739" w:rsidRDefault="00C26739" w:rsidP="008418E6">
      <w:pPr>
        <w:jc w:val="both"/>
        <w:rPr>
          <w:i/>
          <w:iCs/>
        </w:rPr>
      </w:pPr>
      <w:r>
        <w:rPr>
          <w:i/>
          <w:iCs/>
        </w:rPr>
        <w:t xml:space="preserve">L’emendamento esplicita che gli </w:t>
      </w:r>
      <w:r w:rsidRPr="00C26739">
        <w:rPr>
          <w:i/>
          <w:iCs/>
        </w:rPr>
        <w:t xml:space="preserve">ulteriori incarichi previsti per il “sub-investimento 2.2.1 «Assistenza tecnica a livello centrale e locale» </w:t>
      </w:r>
      <w:r>
        <w:rPr>
          <w:i/>
          <w:iCs/>
        </w:rPr>
        <w:t>siano finalizzati anche a consentire agli enti territoriali di rafforzare la loro capacità amministrativa nella rendicontazione dei progetti PNRR di loro competenza.</w:t>
      </w:r>
    </w:p>
    <w:p w14:paraId="3DD88078" w14:textId="77777777" w:rsidR="008418E6" w:rsidRPr="00C26739" w:rsidRDefault="008418E6" w:rsidP="008418E6">
      <w:pPr>
        <w:rPr>
          <w:i/>
          <w:iCs/>
        </w:rPr>
      </w:pPr>
      <w:r w:rsidRPr="00C26739">
        <w:rPr>
          <w:i/>
          <w:iCs/>
        </w:rPr>
        <w:br w:type="page"/>
      </w:r>
    </w:p>
    <w:p w14:paraId="4CCA7FCC" w14:textId="602BCF94" w:rsidR="008519A3" w:rsidRDefault="008519A3" w:rsidP="008519A3">
      <w:pPr>
        <w:jc w:val="right"/>
      </w:pPr>
      <w:r>
        <w:lastRenderedPageBreak/>
        <w:t>ESCLUSIONE SEGRETARI COMUNALI E PROVINCIALI DAL TETTO SALARIO ACCESSORIO</w:t>
      </w:r>
    </w:p>
    <w:p w14:paraId="0F9592D9" w14:textId="77777777" w:rsidR="008519A3" w:rsidRDefault="008519A3" w:rsidP="008519A3">
      <w:pPr>
        <w:jc w:val="center"/>
        <w:rPr>
          <w:b/>
          <w:bCs/>
          <w:i/>
          <w:iCs/>
        </w:rPr>
      </w:pPr>
    </w:p>
    <w:p w14:paraId="2E268462" w14:textId="77777777" w:rsidR="00C26739" w:rsidRPr="00357B82" w:rsidRDefault="00C26739" w:rsidP="00C26739">
      <w:pPr>
        <w:jc w:val="center"/>
        <w:rPr>
          <w:b/>
          <w:bCs/>
        </w:rPr>
      </w:pPr>
      <w:r w:rsidRPr="00357B82">
        <w:rPr>
          <w:b/>
          <w:bCs/>
        </w:rPr>
        <w:t>Articolo 3.</w:t>
      </w:r>
      <w:r w:rsidRPr="00357B82">
        <w:rPr>
          <w:b/>
          <w:bCs/>
        </w:rPr>
        <w:br/>
      </w:r>
      <w:r w:rsidRPr="00357B82">
        <w:rPr>
          <w:b/>
          <w:bCs/>
          <w:i/>
          <w:iCs/>
        </w:rPr>
        <w:t>(Disposizioni in materia di rafforzamento della capacità amministrativa dei soggetti attuatori delle misure PNRR)</w:t>
      </w:r>
    </w:p>
    <w:p w14:paraId="2F68C948" w14:textId="77777777" w:rsidR="00C26739" w:rsidRDefault="00C26739" w:rsidP="008519A3">
      <w:pPr>
        <w:jc w:val="both"/>
        <w:rPr>
          <w:b/>
          <w:bCs/>
        </w:rPr>
      </w:pPr>
    </w:p>
    <w:p w14:paraId="5EC0F949" w14:textId="1DD0C845" w:rsidR="00C26739" w:rsidRDefault="00C26739" w:rsidP="00D17C25">
      <w:pPr>
        <w:jc w:val="both"/>
      </w:pPr>
      <w:r>
        <w:t xml:space="preserve">Al </w:t>
      </w:r>
      <w:r w:rsidR="008519A3" w:rsidRPr="00C26739">
        <w:t xml:space="preserve">comma </w:t>
      </w:r>
      <w:r>
        <w:t>3</w:t>
      </w:r>
      <w:r w:rsidR="00D17C25">
        <w:t xml:space="preserve">, </w:t>
      </w:r>
      <w:r>
        <w:t>le parole “</w:t>
      </w:r>
      <w:r w:rsidRPr="00C26739">
        <w:t>nei comuni fino a 3.000 abitanti la spesa per il segretario comunale</w:t>
      </w:r>
      <w:r>
        <w:t xml:space="preserve">” </w:t>
      </w:r>
      <w:r w:rsidRPr="00D17C25">
        <w:rPr>
          <w:b/>
          <w:bCs/>
        </w:rPr>
        <w:t>sono sostituite dalle parole “negli enti locali la spesa per il segretario, in attuazione dell’art. 97 del decreto legislativo 18 agosto 200</w:t>
      </w:r>
      <w:r w:rsidR="007E797A">
        <w:rPr>
          <w:b/>
          <w:bCs/>
        </w:rPr>
        <w:t>0</w:t>
      </w:r>
      <w:r w:rsidRPr="00D17C25">
        <w:rPr>
          <w:b/>
          <w:bCs/>
        </w:rPr>
        <w:t>, n. 267”;</w:t>
      </w:r>
    </w:p>
    <w:p w14:paraId="34BD0D89" w14:textId="77777777" w:rsidR="008519A3" w:rsidRDefault="008519A3" w:rsidP="008519A3">
      <w:pPr>
        <w:jc w:val="both"/>
      </w:pPr>
    </w:p>
    <w:p w14:paraId="53BD027B" w14:textId="77777777" w:rsidR="008519A3" w:rsidRPr="00B829DD" w:rsidRDefault="008519A3" w:rsidP="008519A3">
      <w:pPr>
        <w:jc w:val="both"/>
        <w:rPr>
          <w:rFonts w:cs="Times New Roman"/>
          <w:i/>
          <w:iCs/>
        </w:rPr>
      </w:pPr>
      <w:r w:rsidRPr="00B829DD">
        <w:rPr>
          <w:rFonts w:cs="Times New Roman"/>
          <w:i/>
          <w:iCs/>
        </w:rPr>
        <w:t>MOTIVAZIONE</w:t>
      </w:r>
    </w:p>
    <w:p w14:paraId="15150DFD" w14:textId="5FCA01E1" w:rsidR="00FD41D3" w:rsidRDefault="008519A3" w:rsidP="008519A3">
      <w:pPr>
        <w:jc w:val="both"/>
        <w:rPr>
          <w:rFonts w:cs="Times New Roman"/>
          <w:i/>
          <w:iCs/>
        </w:rPr>
      </w:pPr>
      <w:r>
        <w:rPr>
          <w:rFonts w:cs="Times New Roman"/>
          <w:i/>
          <w:iCs/>
        </w:rPr>
        <w:t xml:space="preserve">L’emendamento è finalizzato ad escludere </w:t>
      </w:r>
      <w:r w:rsidR="00FD41D3">
        <w:rPr>
          <w:rFonts w:cs="Times New Roman"/>
          <w:i/>
          <w:iCs/>
        </w:rPr>
        <w:t xml:space="preserve">la spesa relativa ai segretari comunali e provinciali, figure apicali previste per legge negli enti </w:t>
      </w:r>
      <w:r w:rsidR="007E797A">
        <w:rPr>
          <w:rFonts w:cs="Times New Roman"/>
          <w:i/>
          <w:iCs/>
        </w:rPr>
        <w:t xml:space="preserve">locali </w:t>
      </w:r>
      <w:r w:rsidR="00FD41D3">
        <w:rPr>
          <w:rFonts w:cs="Times New Roman"/>
          <w:i/>
          <w:iCs/>
        </w:rPr>
        <w:t xml:space="preserve">dal TUEL, dai limiti di spesa di personale e </w:t>
      </w:r>
      <w:r>
        <w:rPr>
          <w:rFonts w:cs="Times New Roman"/>
          <w:i/>
          <w:iCs/>
        </w:rPr>
        <w:t>dal tetto del salario accessorio</w:t>
      </w:r>
      <w:r w:rsidR="00FD41D3">
        <w:rPr>
          <w:rFonts w:cs="Times New Roman"/>
          <w:i/>
          <w:iCs/>
        </w:rPr>
        <w:t xml:space="preserve">, prevedendo un regime coerente per tutti gli enti locali che eviti </w:t>
      </w:r>
      <w:r>
        <w:rPr>
          <w:rFonts w:cs="Times New Roman"/>
          <w:i/>
          <w:iCs/>
        </w:rPr>
        <w:t xml:space="preserve">sperequazioni o disomogeneità </w:t>
      </w:r>
      <w:r w:rsidR="00FD41D3">
        <w:rPr>
          <w:rFonts w:cs="Times New Roman"/>
          <w:i/>
          <w:iCs/>
        </w:rPr>
        <w:t>applicative</w:t>
      </w:r>
      <w:r>
        <w:rPr>
          <w:rFonts w:cs="Times New Roman"/>
          <w:i/>
          <w:iCs/>
        </w:rPr>
        <w:t>.</w:t>
      </w:r>
    </w:p>
    <w:p w14:paraId="07FD555C" w14:textId="77777777" w:rsidR="00FD41D3" w:rsidRDefault="00FD41D3">
      <w:pPr>
        <w:rPr>
          <w:rFonts w:cs="Times New Roman"/>
          <w:i/>
          <w:iCs/>
        </w:rPr>
      </w:pPr>
      <w:r>
        <w:rPr>
          <w:rFonts w:cs="Times New Roman"/>
          <w:i/>
          <w:iCs/>
        </w:rPr>
        <w:br w:type="page"/>
      </w:r>
    </w:p>
    <w:p w14:paraId="099A27EF" w14:textId="4B24CBCF" w:rsidR="00FD41D3" w:rsidRDefault="00FD41D3" w:rsidP="00FD41D3">
      <w:pPr>
        <w:jc w:val="right"/>
        <w:rPr>
          <w:rFonts w:cs="Times New Roman"/>
        </w:rPr>
      </w:pPr>
      <w:r>
        <w:rPr>
          <w:rFonts w:cs="Times New Roman"/>
        </w:rPr>
        <w:lastRenderedPageBreak/>
        <w:t>TASK FORCE TERRITORIALI PER LA CON</w:t>
      </w:r>
      <w:r w:rsidR="000C5255">
        <w:rPr>
          <w:rFonts w:cs="Times New Roman"/>
        </w:rPr>
        <w:t>C</w:t>
      </w:r>
      <w:r>
        <w:rPr>
          <w:rFonts w:cs="Times New Roman"/>
        </w:rPr>
        <w:t>LUSIONE DEI LAVORI DEL PNRR</w:t>
      </w:r>
    </w:p>
    <w:p w14:paraId="6160668C" w14:textId="79FAA256" w:rsidR="00FD41D3" w:rsidRDefault="00FD41D3" w:rsidP="00FD41D3">
      <w:pPr>
        <w:jc w:val="right"/>
      </w:pPr>
    </w:p>
    <w:p w14:paraId="4A4B0564" w14:textId="77777777" w:rsidR="00FD41D3" w:rsidRPr="00357B82" w:rsidRDefault="00FD41D3" w:rsidP="00FD41D3">
      <w:pPr>
        <w:jc w:val="center"/>
        <w:rPr>
          <w:b/>
          <w:bCs/>
        </w:rPr>
      </w:pPr>
      <w:r w:rsidRPr="00357B82">
        <w:rPr>
          <w:b/>
          <w:bCs/>
        </w:rPr>
        <w:t>Articolo 3.</w:t>
      </w:r>
      <w:r w:rsidRPr="00357B82">
        <w:rPr>
          <w:b/>
          <w:bCs/>
        </w:rPr>
        <w:br/>
      </w:r>
      <w:r w:rsidRPr="00357B82">
        <w:rPr>
          <w:b/>
          <w:bCs/>
          <w:i/>
          <w:iCs/>
        </w:rPr>
        <w:t>(Disposizioni in materia di rafforzamento della capacità amministrativa dei soggetti attuatori delle misure PNRR)</w:t>
      </w:r>
    </w:p>
    <w:p w14:paraId="3B1AA2D2" w14:textId="77777777" w:rsidR="00FD41D3" w:rsidRDefault="00FD41D3" w:rsidP="000B3AE7">
      <w:pPr>
        <w:jc w:val="both"/>
      </w:pPr>
    </w:p>
    <w:p w14:paraId="20B9FEC4" w14:textId="77777777" w:rsidR="00B0169D" w:rsidRDefault="00FD41D3" w:rsidP="000B3AE7">
      <w:pPr>
        <w:jc w:val="both"/>
      </w:pPr>
      <w:r>
        <w:t>Dopo il comma 4, è aggiunto il seguente comma:</w:t>
      </w:r>
    </w:p>
    <w:p w14:paraId="07E535CC" w14:textId="5651F1E7" w:rsidR="00FD41D3" w:rsidRPr="00B0169D" w:rsidRDefault="00FD41D3" w:rsidP="000B3AE7">
      <w:pPr>
        <w:jc w:val="both"/>
        <w:rPr>
          <w:b/>
          <w:bCs/>
        </w:rPr>
      </w:pPr>
      <w:r>
        <w:t xml:space="preserve"> </w:t>
      </w:r>
      <w:r w:rsidRPr="00B0169D">
        <w:rPr>
          <w:b/>
          <w:bCs/>
        </w:rPr>
        <w:t xml:space="preserve">“4-bis. </w:t>
      </w:r>
      <w:r w:rsidR="000B3AE7" w:rsidRPr="00B0169D">
        <w:rPr>
          <w:b/>
          <w:bCs/>
        </w:rPr>
        <w:t>Nelle Cabine di coordinamento PNRR, istituite ai sensi dell'art. 9, D.L. 2 marzo 2024, n. 19, convertito dalla legge 29 aprile 2024, n. 56, presso tutte le Prefetture, sono costituite specifiche</w:t>
      </w:r>
      <w:r w:rsidR="000C5255" w:rsidRPr="00B0169D">
        <w:rPr>
          <w:b/>
          <w:bCs/>
        </w:rPr>
        <w:t xml:space="preserve"> </w:t>
      </w:r>
      <w:r w:rsidR="000C5255" w:rsidRPr="00B0169D">
        <w:rPr>
          <w:b/>
          <w:bCs/>
          <w:i/>
          <w:iCs/>
        </w:rPr>
        <w:t>task force</w:t>
      </w:r>
      <w:r w:rsidR="000B3AE7" w:rsidRPr="00B0169D">
        <w:rPr>
          <w:b/>
          <w:bCs/>
        </w:rPr>
        <w:t>, con il supporto della Ragioneria Generale dello Stato, a sostegno degli enti attuatori per la redazione corretta delle rendicontazioni intermedie e di quella finale, in attuazione di quanto previsto dall’articolo 1, comma 1, del presente decreto.”</w:t>
      </w:r>
    </w:p>
    <w:p w14:paraId="7F4D8EF9" w14:textId="77777777" w:rsidR="00FD41D3" w:rsidRDefault="00FD41D3" w:rsidP="000B3AE7">
      <w:pPr>
        <w:jc w:val="both"/>
      </w:pPr>
    </w:p>
    <w:p w14:paraId="5D72EBAE" w14:textId="77777777" w:rsidR="00FD41D3" w:rsidRPr="00357B82" w:rsidRDefault="00FD41D3" w:rsidP="000B3AE7">
      <w:pPr>
        <w:jc w:val="both"/>
        <w:rPr>
          <w:i/>
          <w:iCs/>
        </w:rPr>
      </w:pPr>
      <w:r w:rsidRPr="00357B82">
        <w:rPr>
          <w:i/>
          <w:iCs/>
        </w:rPr>
        <w:t>MOTIVAZIONE</w:t>
      </w:r>
    </w:p>
    <w:p w14:paraId="1BB74CFB" w14:textId="77777777" w:rsidR="000B3AE7" w:rsidRDefault="000B3AE7" w:rsidP="000B3AE7">
      <w:pPr>
        <w:jc w:val="both"/>
        <w:rPr>
          <w:i/>
          <w:iCs/>
        </w:rPr>
      </w:pPr>
      <w:r>
        <w:rPr>
          <w:i/>
          <w:iCs/>
        </w:rPr>
        <w:t xml:space="preserve">Per supportare concretamente gli enti locali nella rendicontazione e conclusione degli interventi PNRR di loro competenza occorre </w:t>
      </w:r>
      <w:r w:rsidRPr="000B3AE7">
        <w:rPr>
          <w:i/>
          <w:iCs/>
        </w:rPr>
        <w:t xml:space="preserve">valorizzare il ruolo dei tavoli territoriali strategici PNRR insediati presso le prefetture, superando il compito di mero monitoraggio oggi attribuito loro, a favore di un supporto concreto agli enti attuatori. </w:t>
      </w:r>
      <w:r>
        <w:rPr>
          <w:i/>
          <w:iCs/>
        </w:rPr>
        <w:t xml:space="preserve">Si </w:t>
      </w:r>
      <w:r w:rsidRPr="000B3AE7">
        <w:rPr>
          <w:i/>
          <w:iCs/>
        </w:rPr>
        <w:t>propone quindi di costituire presso i tavoli insediati nelle prefetture, task force specifiche, con il supporto della Ragioneria Generale dello Stato, a sostegno degli enti attuatori per la redazione corretta delle rendicontazioni intermedie e di quella finale. I tavoli, così strutturati, devono diventare anche la sede della verifica preventiva della rendicontazione finale, in modo che, in un rapporto collaborativo tra tutti i soggetti, sia possibile risolvere le possibili criticità, senza rallentare o bloccare il processo e assicurando il tempestivo trasferimento di risorse finanziarie dalle amministrazioni agli enti attuatori</w:t>
      </w:r>
      <w:r>
        <w:rPr>
          <w:i/>
          <w:iCs/>
        </w:rPr>
        <w:t>.</w:t>
      </w:r>
    </w:p>
    <w:p w14:paraId="40FD226B" w14:textId="77777777" w:rsidR="000B3AE7" w:rsidRDefault="000B3AE7">
      <w:pPr>
        <w:rPr>
          <w:i/>
          <w:iCs/>
        </w:rPr>
      </w:pPr>
      <w:r>
        <w:rPr>
          <w:i/>
          <w:iCs/>
        </w:rPr>
        <w:br w:type="page"/>
      </w:r>
    </w:p>
    <w:p w14:paraId="025722F6" w14:textId="576CA000" w:rsidR="000B3AE7" w:rsidRDefault="000B3AE7" w:rsidP="000B3AE7">
      <w:pPr>
        <w:jc w:val="right"/>
        <w:rPr>
          <w:rFonts w:cs="Times New Roman"/>
        </w:rPr>
      </w:pPr>
      <w:r>
        <w:rPr>
          <w:rFonts w:cs="Times New Roman"/>
        </w:rPr>
        <w:lastRenderedPageBreak/>
        <w:t>PROROGA INCARICHI PNRR NEGLI ENTI LOCALI</w:t>
      </w:r>
    </w:p>
    <w:p w14:paraId="63C66C90" w14:textId="63E4E61F" w:rsidR="000B3AE7" w:rsidRDefault="000B3AE7" w:rsidP="000B3AE7">
      <w:pPr>
        <w:jc w:val="both"/>
        <w:rPr>
          <w:rFonts w:cs="Times New Roman"/>
        </w:rPr>
      </w:pPr>
    </w:p>
    <w:p w14:paraId="05E2FA68" w14:textId="622ADE8A" w:rsidR="000B3AE7" w:rsidRPr="00357B82" w:rsidRDefault="000B3AE7" w:rsidP="000B3AE7">
      <w:pPr>
        <w:jc w:val="center"/>
        <w:rPr>
          <w:b/>
          <w:bCs/>
        </w:rPr>
      </w:pPr>
      <w:r w:rsidRPr="00357B82">
        <w:rPr>
          <w:b/>
          <w:bCs/>
        </w:rPr>
        <w:t>Articolo 3.</w:t>
      </w:r>
      <w:r w:rsidRPr="00357B82">
        <w:rPr>
          <w:b/>
          <w:bCs/>
        </w:rPr>
        <w:br/>
      </w:r>
      <w:r w:rsidRPr="00357B82">
        <w:rPr>
          <w:b/>
          <w:bCs/>
          <w:i/>
          <w:iCs/>
        </w:rPr>
        <w:t>(Disposizioni in materia di rafforzamento della capacità amministrativa dei soggetti attuatori delle misure PNRR)</w:t>
      </w:r>
    </w:p>
    <w:p w14:paraId="6FAD22E6" w14:textId="77777777" w:rsidR="000B3AE7" w:rsidRDefault="000B3AE7" w:rsidP="000B3AE7">
      <w:pPr>
        <w:jc w:val="center"/>
      </w:pPr>
    </w:p>
    <w:p w14:paraId="3E226BF1" w14:textId="77777777" w:rsidR="00B0169D" w:rsidRDefault="000B3AE7" w:rsidP="00423BBF">
      <w:pPr>
        <w:jc w:val="both"/>
      </w:pPr>
      <w:r>
        <w:t xml:space="preserve">Dopo il comma 4, è aggiunto il seguente comma: </w:t>
      </w:r>
    </w:p>
    <w:p w14:paraId="67E40A8E" w14:textId="63B6F10C" w:rsidR="000B3AE7" w:rsidRDefault="000B3AE7" w:rsidP="00423BBF">
      <w:pPr>
        <w:jc w:val="both"/>
      </w:pPr>
      <w:r w:rsidRPr="00D17C25">
        <w:rPr>
          <w:b/>
          <w:bCs/>
        </w:rPr>
        <w:t xml:space="preserve">“4-bis. </w:t>
      </w:r>
      <w:r w:rsidR="00423BBF" w:rsidRPr="00D17C25">
        <w:rPr>
          <w:b/>
          <w:bCs/>
        </w:rPr>
        <w:t>Al fine di consentire il tempestivo conseguimento degli obiettivi e la realizzazione degli interventi indicati nel PNRR</w:t>
      </w:r>
      <w:r w:rsidR="007E797A">
        <w:rPr>
          <w:b/>
          <w:bCs/>
        </w:rPr>
        <w:t>,</w:t>
      </w:r>
      <w:r w:rsidR="00423BBF" w:rsidRPr="00D17C25">
        <w:rPr>
          <w:b/>
          <w:bCs/>
        </w:rPr>
        <w:t xml:space="preserve"> agli enti locali è consentita la proroga al 31 dicembre 2026 degli incarichi</w:t>
      </w:r>
      <w:r w:rsidR="00F14866" w:rsidRPr="00D17C25">
        <w:rPr>
          <w:b/>
          <w:bCs/>
        </w:rPr>
        <w:t>, ovvero il rinnovo degli stessi, conferiti</w:t>
      </w:r>
      <w:r w:rsidR="00423BBF" w:rsidRPr="00D17C25">
        <w:rPr>
          <w:b/>
          <w:bCs/>
        </w:rPr>
        <w:t xml:space="preserve"> per la realizzazione degli interventi PNRR di loro competenza”</w:t>
      </w:r>
      <w:r w:rsidR="00F14866" w:rsidRPr="00D17C25">
        <w:rPr>
          <w:b/>
          <w:bCs/>
        </w:rPr>
        <w:t>.</w:t>
      </w:r>
    </w:p>
    <w:p w14:paraId="2DFDBF65" w14:textId="77777777" w:rsidR="00423BBF" w:rsidRDefault="00423BBF" w:rsidP="00423BBF">
      <w:pPr>
        <w:jc w:val="both"/>
      </w:pPr>
    </w:p>
    <w:p w14:paraId="1016D2C4" w14:textId="77777777" w:rsidR="00423BBF" w:rsidRPr="00357B82" w:rsidRDefault="00423BBF" w:rsidP="00423BBF">
      <w:pPr>
        <w:jc w:val="both"/>
        <w:rPr>
          <w:i/>
          <w:iCs/>
        </w:rPr>
      </w:pPr>
      <w:r w:rsidRPr="00357B82">
        <w:rPr>
          <w:i/>
          <w:iCs/>
        </w:rPr>
        <w:t>MOTIVAZIONE</w:t>
      </w:r>
    </w:p>
    <w:p w14:paraId="0A378C87" w14:textId="587A579B" w:rsidR="00423BBF" w:rsidRDefault="00423BBF" w:rsidP="00423BBF">
      <w:pPr>
        <w:jc w:val="both"/>
        <w:rPr>
          <w:i/>
          <w:iCs/>
        </w:rPr>
      </w:pPr>
      <w:r>
        <w:rPr>
          <w:i/>
          <w:iCs/>
        </w:rPr>
        <w:t>L’emendamento proposto ha l’obiettivo di consentire anche agli enti locali di prorogare gli incarichi conferiti per la realizzazione dei loro interventi PNRR fino alla fine del 2026, in modo da garantire una continuità operativa tra la gestione degli interventi, la conclusione dei lavori e la rendicontazione finale delle attività.</w:t>
      </w:r>
    </w:p>
    <w:p w14:paraId="327BE1CA" w14:textId="77777777" w:rsidR="00D17C25" w:rsidRDefault="00D17C25" w:rsidP="00423BBF">
      <w:pPr>
        <w:jc w:val="both"/>
        <w:rPr>
          <w:i/>
          <w:iCs/>
        </w:rPr>
      </w:pPr>
    </w:p>
    <w:p w14:paraId="574A2D6C" w14:textId="77777777" w:rsidR="00D17C25" w:rsidRDefault="00D17C25" w:rsidP="00423BBF">
      <w:pPr>
        <w:jc w:val="both"/>
        <w:rPr>
          <w:i/>
          <w:iCs/>
        </w:rPr>
      </w:pPr>
    </w:p>
    <w:p w14:paraId="246DD8CF" w14:textId="77777777" w:rsidR="00D17C25" w:rsidRDefault="00D17C25" w:rsidP="00423BBF">
      <w:pPr>
        <w:jc w:val="both"/>
        <w:rPr>
          <w:i/>
          <w:iCs/>
        </w:rPr>
      </w:pPr>
    </w:p>
    <w:p w14:paraId="5348806C" w14:textId="77777777" w:rsidR="00D17C25" w:rsidRDefault="00D17C25" w:rsidP="00423BBF">
      <w:pPr>
        <w:jc w:val="both"/>
        <w:rPr>
          <w:i/>
          <w:iCs/>
        </w:rPr>
      </w:pPr>
    </w:p>
    <w:p w14:paraId="2FF97D15" w14:textId="77777777" w:rsidR="00D17C25" w:rsidRDefault="00D17C25" w:rsidP="00423BBF">
      <w:pPr>
        <w:jc w:val="both"/>
        <w:rPr>
          <w:i/>
          <w:iCs/>
        </w:rPr>
      </w:pPr>
    </w:p>
    <w:p w14:paraId="6CCF8DF7" w14:textId="77777777" w:rsidR="00D17C25" w:rsidRDefault="00D17C25" w:rsidP="00423BBF">
      <w:pPr>
        <w:jc w:val="both"/>
        <w:rPr>
          <w:i/>
          <w:iCs/>
        </w:rPr>
      </w:pPr>
    </w:p>
    <w:p w14:paraId="43052F5E" w14:textId="77777777" w:rsidR="00D17C25" w:rsidRDefault="00D17C25" w:rsidP="00423BBF">
      <w:pPr>
        <w:jc w:val="both"/>
        <w:rPr>
          <w:i/>
          <w:iCs/>
        </w:rPr>
      </w:pPr>
    </w:p>
    <w:p w14:paraId="7488949E" w14:textId="77777777" w:rsidR="00D17C25" w:rsidRDefault="00D17C25" w:rsidP="00423BBF">
      <w:pPr>
        <w:jc w:val="both"/>
        <w:rPr>
          <w:i/>
          <w:iCs/>
        </w:rPr>
      </w:pPr>
    </w:p>
    <w:p w14:paraId="2851C1F4" w14:textId="77777777" w:rsidR="00D17C25" w:rsidRDefault="00D17C25" w:rsidP="00423BBF">
      <w:pPr>
        <w:jc w:val="both"/>
        <w:rPr>
          <w:i/>
          <w:iCs/>
        </w:rPr>
      </w:pPr>
    </w:p>
    <w:p w14:paraId="53993592" w14:textId="77777777" w:rsidR="00D17C25" w:rsidRDefault="00D17C25" w:rsidP="00423BBF">
      <w:pPr>
        <w:jc w:val="both"/>
        <w:rPr>
          <w:i/>
          <w:iCs/>
        </w:rPr>
      </w:pPr>
    </w:p>
    <w:p w14:paraId="6B8E38FB" w14:textId="77777777" w:rsidR="00D17C25" w:rsidRDefault="00D17C25" w:rsidP="00423BBF">
      <w:pPr>
        <w:jc w:val="both"/>
        <w:rPr>
          <w:i/>
          <w:iCs/>
        </w:rPr>
      </w:pPr>
    </w:p>
    <w:p w14:paraId="39251045" w14:textId="77777777" w:rsidR="00D17C25" w:rsidRDefault="00D17C25" w:rsidP="00423BBF">
      <w:pPr>
        <w:jc w:val="both"/>
        <w:rPr>
          <w:i/>
          <w:iCs/>
        </w:rPr>
      </w:pPr>
    </w:p>
    <w:p w14:paraId="0AC5E293" w14:textId="77777777" w:rsidR="00D17C25" w:rsidRDefault="00D17C25" w:rsidP="00423BBF">
      <w:pPr>
        <w:jc w:val="both"/>
        <w:rPr>
          <w:i/>
          <w:iCs/>
        </w:rPr>
      </w:pPr>
    </w:p>
    <w:p w14:paraId="49E86A2D" w14:textId="77777777" w:rsidR="00D17C25" w:rsidRDefault="00D17C25" w:rsidP="00423BBF">
      <w:pPr>
        <w:jc w:val="both"/>
        <w:rPr>
          <w:i/>
          <w:iCs/>
        </w:rPr>
      </w:pPr>
    </w:p>
    <w:p w14:paraId="21560CE4" w14:textId="7E02480A" w:rsidR="00B0169D" w:rsidRPr="00B0169D" w:rsidRDefault="00B0169D" w:rsidP="00B0169D">
      <w:pPr>
        <w:jc w:val="right"/>
        <w:rPr>
          <w:sz w:val="22"/>
          <w:szCs w:val="22"/>
        </w:rPr>
      </w:pPr>
      <w:r w:rsidRPr="00B0169D">
        <w:rPr>
          <w:sz w:val="22"/>
          <w:szCs w:val="22"/>
        </w:rPr>
        <w:lastRenderedPageBreak/>
        <w:t>RAFFORZAMENTO DELLA CAPACITA’ AMMINISTRATIVA DEGLI ENTI LOCALI SOGGETTI ATTUATORI</w:t>
      </w:r>
    </w:p>
    <w:p w14:paraId="2A46B599" w14:textId="6DE5BB79" w:rsidR="00D17C25" w:rsidRPr="00357B82" w:rsidRDefault="00D17C25" w:rsidP="00D17C25">
      <w:pPr>
        <w:jc w:val="center"/>
        <w:rPr>
          <w:b/>
          <w:bCs/>
        </w:rPr>
      </w:pPr>
      <w:r w:rsidRPr="00357B82">
        <w:rPr>
          <w:b/>
          <w:bCs/>
        </w:rPr>
        <w:t>Articolo 3.</w:t>
      </w:r>
      <w:r w:rsidRPr="00357B82">
        <w:rPr>
          <w:b/>
          <w:bCs/>
        </w:rPr>
        <w:br/>
      </w:r>
      <w:r w:rsidRPr="00357B82">
        <w:rPr>
          <w:b/>
          <w:bCs/>
          <w:i/>
          <w:iCs/>
        </w:rPr>
        <w:t>(Disposizioni in materia di rafforzamento della capacità amministrativa dei soggetti attuatori delle misure PNRR)</w:t>
      </w:r>
    </w:p>
    <w:p w14:paraId="74A0ADD6" w14:textId="77777777" w:rsidR="00D17C25" w:rsidRDefault="00D17C25" w:rsidP="00423BBF">
      <w:pPr>
        <w:jc w:val="both"/>
        <w:rPr>
          <w:i/>
          <w:iCs/>
        </w:rPr>
      </w:pPr>
    </w:p>
    <w:p w14:paraId="06871CA9" w14:textId="77777777" w:rsidR="00B0169D" w:rsidRDefault="00B0169D" w:rsidP="00D17C25">
      <w:pPr>
        <w:jc w:val="both"/>
      </w:pPr>
      <w:r>
        <w:t>Dopo il comma 4, è aggiunto il seguente comma:</w:t>
      </w:r>
      <w:r>
        <w:t xml:space="preserve"> </w:t>
      </w:r>
    </w:p>
    <w:p w14:paraId="0FA34CE3" w14:textId="4130C8CF" w:rsidR="00D17C25" w:rsidRDefault="00B0169D" w:rsidP="00B0169D">
      <w:pPr>
        <w:jc w:val="both"/>
        <w:rPr>
          <w:b/>
          <w:bCs/>
        </w:rPr>
      </w:pPr>
      <w:r w:rsidRPr="00B0169D">
        <w:t>“</w:t>
      </w:r>
      <w:r w:rsidR="00D17C25" w:rsidRPr="00D17C25">
        <w:rPr>
          <w:b/>
          <w:bCs/>
        </w:rPr>
        <w:t>4</w:t>
      </w:r>
      <w:r>
        <w:rPr>
          <w:b/>
          <w:bCs/>
        </w:rPr>
        <w:t xml:space="preserve"> bis</w:t>
      </w:r>
      <w:r w:rsidR="00D17C25" w:rsidRPr="00D17C25">
        <w:rPr>
          <w:b/>
          <w:bCs/>
        </w:rPr>
        <w:t>. Al fine di assicurare il pieno conseguimento degli obiettivi del Piano nazionale di ripresa e resilienza, nonché il corretto espletamento delle attività di monitoraggio, rendicontazione, controllo e gestione delle successive verifiche nazionali ed europee, gli enti locali</w:t>
      </w:r>
      <w:r>
        <w:rPr>
          <w:b/>
          <w:bCs/>
        </w:rPr>
        <w:t xml:space="preserve"> </w:t>
      </w:r>
      <w:r w:rsidR="00D17C25" w:rsidRPr="00D17C25">
        <w:rPr>
          <w:b/>
          <w:bCs/>
        </w:rPr>
        <w:t>possono procedere, fino al 31 dicembre 2029, ad assunzioni di personale a tempo determinato o indeterminato e al conferimento di incarichi di collaborazione, anche in deroga ai vigenti limiti di spesa e ai vincoli assunzionali previsti dalla normativa vigente</w:t>
      </w:r>
      <w:r>
        <w:rPr>
          <w:b/>
          <w:bCs/>
        </w:rPr>
        <w:t>”</w:t>
      </w:r>
      <w:r w:rsidR="00D17C25" w:rsidRPr="00D17C25">
        <w:rPr>
          <w:b/>
          <w:bCs/>
        </w:rPr>
        <w:t xml:space="preserve">. </w:t>
      </w:r>
    </w:p>
    <w:p w14:paraId="01C58FB6" w14:textId="77777777" w:rsidR="00B0169D" w:rsidRDefault="00B0169D" w:rsidP="00D17C25">
      <w:pPr>
        <w:jc w:val="both"/>
        <w:rPr>
          <w:b/>
          <w:bCs/>
        </w:rPr>
      </w:pPr>
    </w:p>
    <w:p w14:paraId="5740F58A" w14:textId="1C2912D6" w:rsidR="00B0169D" w:rsidRPr="00D17C25" w:rsidRDefault="00B0169D" w:rsidP="00D17C25">
      <w:pPr>
        <w:jc w:val="both"/>
        <w:rPr>
          <w:i/>
          <w:iCs/>
        </w:rPr>
      </w:pPr>
      <w:r w:rsidRPr="00B0169D">
        <w:rPr>
          <w:i/>
          <w:iCs/>
        </w:rPr>
        <w:t>MOTIVAZIONE</w:t>
      </w:r>
    </w:p>
    <w:p w14:paraId="06C9512C" w14:textId="13C7930D" w:rsidR="00D17C25" w:rsidRPr="00D17C25" w:rsidRDefault="00D17C25" w:rsidP="00D17C25">
      <w:pPr>
        <w:jc w:val="both"/>
        <w:rPr>
          <w:i/>
          <w:iCs/>
        </w:rPr>
      </w:pPr>
      <w:r w:rsidRPr="00D17C25">
        <w:rPr>
          <w:i/>
          <w:iCs/>
        </w:rPr>
        <w:t>Le assunzioni e gli incarichi di cui al presente comma sono consentiti nei limiti delle risorse disponibili a legislazione vigente, nonché a valere sulle risorse del PNRR e sui relativi quadri economici degli interventi, ove ammissibili, e sono finalizzati esclusivamente al potenziamento delle strutture tecniche, amministrative e di controllo dedicate all’attuazione, rendicontazione e verifica degli interventi finanziati, nonché alla gestione delle attività di controllo successive alla conclusione degli stessi. Le disposizioni del presente comma si applicano in coerenza con gli equilibri di bilancio e nel rispetto dei principi di sostenibilità finanziaria</w:t>
      </w:r>
      <w:r w:rsidR="00B0169D">
        <w:rPr>
          <w:i/>
          <w:iCs/>
        </w:rPr>
        <w:t>.</w:t>
      </w:r>
    </w:p>
    <w:p w14:paraId="743BBB01" w14:textId="35E99861" w:rsidR="00D17C25" w:rsidRPr="00D17C25" w:rsidRDefault="00D17C25" w:rsidP="00D17C25">
      <w:pPr>
        <w:jc w:val="both"/>
        <w:rPr>
          <w:i/>
          <w:iCs/>
        </w:rPr>
      </w:pPr>
      <w:r w:rsidRPr="00D17C25">
        <w:rPr>
          <w:i/>
          <w:iCs/>
        </w:rPr>
        <w:t xml:space="preserve">La disposizione consente di procedere ad assunzioni di personale a tempo determinato o indeterminato e al conferimento di incarichi di collaborazione, anche in deroga ai vincoli assunzionali e ai limiti di spesa previsti dalla normativa vigente. L’emendamento prevede che le assunzioni e i conferimenti di incarichi siano finalizzati esclusivamente al potenziamento delle strutture dedicate alla gestione dei progetti PNRR, alla rendicontazione e alle attività di controllo, garantendo che le risorse impiegate siano compatibili con la normativa vigente e, ove ammissibili, con i finanziamenti del PNRR. </w:t>
      </w:r>
    </w:p>
    <w:p w14:paraId="6BEC4637" w14:textId="5221988A" w:rsidR="00B0169D" w:rsidRDefault="00B0169D" w:rsidP="00B0169D">
      <w:pPr>
        <w:jc w:val="both"/>
        <w:rPr>
          <w:i/>
          <w:iCs/>
        </w:rPr>
      </w:pPr>
      <w:r w:rsidRPr="00D17C25">
        <w:rPr>
          <w:i/>
          <w:iCs/>
        </w:rPr>
        <w:t>La previsione della deroga ai vincoli assunzionali è circoscritta nel tempo e accompagnata da un principio di rispetto degli equilibri di bilancio, assicurando così sostenibilità finanziaria e corretto utilizzo delle risorse pubbliche.</w:t>
      </w:r>
      <w:r>
        <w:rPr>
          <w:i/>
          <w:iCs/>
        </w:rPr>
        <w:t xml:space="preserve"> La </w:t>
      </w:r>
      <w:r w:rsidR="00D17C25" w:rsidRPr="00D17C25">
        <w:rPr>
          <w:i/>
          <w:iCs/>
        </w:rPr>
        <w:t xml:space="preserve">misura non comporta nuovi oneri permanenti a carico della finanza pubblica, in quanto le assunzioni sono finanziate con risorse già disponibili a legislazione vigente o con le risorse PNRR dedicate. </w:t>
      </w:r>
    </w:p>
    <w:p w14:paraId="687FA75A" w14:textId="2BEC787A" w:rsidR="00D17C25" w:rsidRDefault="00D17C25">
      <w:pPr>
        <w:rPr>
          <w:i/>
          <w:iCs/>
        </w:rPr>
      </w:pPr>
      <w:r>
        <w:rPr>
          <w:i/>
          <w:iCs/>
        </w:rPr>
        <w:br w:type="page"/>
      </w:r>
    </w:p>
    <w:p w14:paraId="7D15033D" w14:textId="77777777" w:rsidR="00423BBF" w:rsidRDefault="00423BBF">
      <w:pPr>
        <w:rPr>
          <w:i/>
          <w:iCs/>
        </w:rPr>
      </w:pPr>
    </w:p>
    <w:p w14:paraId="20BCF937" w14:textId="7C4A512B" w:rsidR="000C5255" w:rsidRDefault="000C5255" w:rsidP="000C5255">
      <w:pPr>
        <w:jc w:val="right"/>
        <w:rPr>
          <w:rFonts w:cs="Times New Roman"/>
        </w:rPr>
      </w:pPr>
      <w:r>
        <w:rPr>
          <w:rFonts w:cs="Times New Roman"/>
        </w:rPr>
        <w:t>COPERTURA EX</w:t>
      </w:r>
      <w:r w:rsidR="007E797A">
        <w:rPr>
          <w:rFonts w:cs="Times New Roman"/>
        </w:rPr>
        <w:t>T</w:t>
      </w:r>
      <w:r>
        <w:rPr>
          <w:rFonts w:cs="Times New Roman"/>
        </w:rPr>
        <w:t>RACOSTI DEGLI INTERVENTI PNRR DEGLI ENTI LOCALI</w:t>
      </w:r>
    </w:p>
    <w:p w14:paraId="0CB1658F" w14:textId="77777777" w:rsidR="000C5255" w:rsidRDefault="000C5255" w:rsidP="000C5255">
      <w:pPr>
        <w:jc w:val="both"/>
        <w:rPr>
          <w:rFonts w:cs="Times New Roman"/>
        </w:rPr>
      </w:pPr>
    </w:p>
    <w:p w14:paraId="0C91E9BB" w14:textId="77777777" w:rsidR="000C5255" w:rsidRDefault="000C5255" w:rsidP="000C5255">
      <w:pPr>
        <w:jc w:val="center"/>
        <w:rPr>
          <w:rFonts w:cs="Times New Roman"/>
          <w:b/>
          <w:bCs/>
          <w:i/>
          <w:iCs/>
        </w:rPr>
      </w:pPr>
      <w:r w:rsidRPr="00423BBF">
        <w:rPr>
          <w:rFonts w:cs="Times New Roman"/>
          <w:b/>
          <w:bCs/>
        </w:rPr>
        <w:t>Articolo 30.</w:t>
      </w:r>
      <w:r w:rsidRPr="00423BBF">
        <w:rPr>
          <w:rFonts w:cs="Times New Roman"/>
          <w:b/>
          <w:bCs/>
        </w:rPr>
        <w:br/>
      </w:r>
      <w:r w:rsidRPr="00423BBF">
        <w:rPr>
          <w:rFonts w:cs="Times New Roman"/>
          <w:b/>
          <w:bCs/>
          <w:i/>
          <w:iCs/>
        </w:rPr>
        <w:t>(Disposizioni finanziarie)</w:t>
      </w:r>
    </w:p>
    <w:p w14:paraId="1E8CB11F" w14:textId="77777777" w:rsidR="000C5255" w:rsidRPr="000C5255" w:rsidRDefault="000C5255" w:rsidP="000C5255">
      <w:pPr>
        <w:jc w:val="both"/>
        <w:rPr>
          <w:i/>
          <w:iCs/>
        </w:rPr>
      </w:pPr>
    </w:p>
    <w:p w14:paraId="1673B7B9" w14:textId="77777777" w:rsidR="000C5255" w:rsidRPr="000C5255" w:rsidRDefault="000C5255" w:rsidP="000C5255">
      <w:pPr>
        <w:jc w:val="both"/>
        <w:rPr>
          <w:i/>
          <w:iCs/>
        </w:rPr>
      </w:pPr>
    </w:p>
    <w:p w14:paraId="33F5DB55" w14:textId="77777777" w:rsidR="007E797A" w:rsidRDefault="00F14866" w:rsidP="000C5255">
      <w:pPr>
        <w:jc w:val="both"/>
      </w:pPr>
      <w:r>
        <w:t>Dopo il comma 2, è aggiunto il seguente comma:</w:t>
      </w:r>
    </w:p>
    <w:p w14:paraId="705BF64B" w14:textId="3C400C09" w:rsidR="000C5255" w:rsidRPr="007E797A" w:rsidRDefault="00F14866" w:rsidP="000C5255">
      <w:pPr>
        <w:jc w:val="both"/>
        <w:rPr>
          <w:b/>
          <w:bCs/>
        </w:rPr>
      </w:pPr>
      <w:r w:rsidRPr="007E797A">
        <w:rPr>
          <w:b/>
          <w:bCs/>
        </w:rPr>
        <w:t xml:space="preserve"> “2-bis. </w:t>
      </w:r>
      <w:r w:rsidR="000C5255" w:rsidRPr="007E797A">
        <w:rPr>
          <w:b/>
          <w:bCs/>
        </w:rPr>
        <w:t>Per gli interventi relativi all’edilizia scolastica delle scuole secondarie di secondo grado delle Province e delle Città metropolitane riferiti all</w:t>
      </w:r>
      <w:r w:rsidRPr="007E797A">
        <w:rPr>
          <w:b/>
          <w:bCs/>
        </w:rPr>
        <w:t xml:space="preserve">a Missione 4-C1, Investimenti 1.2, 1.3, 3.3, </w:t>
      </w:r>
      <w:r w:rsidR="000C5255" w:rsidRPr="007E797A">
        <w:rPr>
          <w:b/>
          <w:bCs/>
        </w:rPr>
        <w:t xml:space="preserve"> finanziati con fondi PNRR,  il Ministero dell’Istruzione e del Merito </w:t>
      </w:r>
      <w:r w:rsidRPr="007E797A">
        <w:rPr>
          <w:b/>
          <w:bCs/>
        </w:rPr>
        <w:t>trasferisce</w:t>
      </w:r>
      <w:r w:rsidR="000C5255" w:rsidRPr="007E797A">
        <w:rPr>
          <w:b/>
          <w:bCs/>
        </w:rPr>
        <w:t xml:space="preserve"> a Province e Città metropolitane quota delle economie</w:t>
      </w:r>
      <w:r w:rsidR="007E797A">
        <w:rPr>
          <w:b/>
          <w:bCs/>
        </w:rPr>
        <w:t xml:space="preserve"> </w:t>
      </w:r>
      <w:r w:rsidR="007E797A" w:rsidRPr="007E797A">
        <w:rPr>
          <w:b/>
          <w:bCs/>
        </w:rPr>
        <w:t>della Missione M4C1</w:t>
      </w:r>
      <w:r w:rsidR="000C5255" w:rsidRPr="007E797A">
        <w:rPr>
          <w:b/>
          <w:bCs/>
        </w:rPr>
        <w:t xml:space="preserve"> generate da progetti PNRR completati</w:t>
      </w:r>
      <w:r w:rsidR="007E797A">
        <w:rPr>
          <w:b/>
          <w:bCs/>
        </w:rPr>
        <w:t>,</w:t>
      </w:r>
      <w:r w:rsidR="000C5255" w:rsidRPr="007E797A">
        <w:rPr>
          <w:b/>
          <w:bCs/>
        </w:rPr>
        <w:t xml:space="preserve"> per la copertura dei maggiori oneri rendicontabili</w:t>
      </w:r>
      <w:r w:rsidRPr="007E797A">
        <w:rPr>
          <w:b/>
          <w:bCs/>
        </w:rPr>
        <w:t xml:space="preserve"> </w:t>
      </w:r>
      <w:r w:rsidR="000C5255" w:rsidRPr="007E797A">
        <w:rPr>
          <w:b/>
          <w:bCs/>
        </w:rPr>
        <w:t>sostenuti dagli enti</w:t>
      </w:r>
      <w:r w:rsidRPr="007E797A">
        <w:rPr>
          <w:b/>
          <w:bCs/>
        </w:rPr>
        <w:t>,</w:t>
      </w:r>
      <w:r w:rsidR="000C5255" w:rsidRPr="007E797A">
        <w:rPr>
          <w:b/>
          <w:bCs/>
        </w:rPr>
        <w:t xml:space="preserve"> causati dall’aumento dei </w:t>
      </w:r>
      <w:r w:rsidR="007E797A">
        <w:rPr>
          <w:b/>
          <w:bCs/>
        </w:rPr>
        <w:t>c</w:t>
      </w:r>
      <w:r w:rsidR="000C5255" w:rsidRPr="007E797A">
        <w:rPr>
          <w:b/>
          <w:bCs/>
        </w:rPr>
        <w:t>osti dei materiali e dell’energia,</w:t>
      </w:r>
      <w:r w:rsidR="007E797A">
        <w:rPr>
          <w:b/>
          <w:bCs/>
        </w:rPr>
        <w:t xml:space="preserve"> </w:t>
      </w:r>
      <w:r w:rsidR="000C5255" w:rsidRPr="007E797A">
        <w:rPr>
          <w:b/>
          <w:bCs/>
        </w:rPr>
        <w:t>fermo restando il rispetto delle condizionalità del PNRR</w:t>
      </w:r>
      <w:r w:rsidR="007E797A">
        <w:rPr>
          <w:b/>
          <w:bCs/>
        </w:rPr>
        <w:t>”</w:t>
      </w:r>
      <w:r w:rsidR="000C5255" w:rsidRPr="007E797A">
        <w:rPr>
          <w:b/>
          <w:bCs/>
        </w:rPr>
        <w:t>.</w:t>
      </w:r>
    </w:p>
    <w:p w14:paraId="13047D08" w14:textId="77777777" w:rsidR="000C5255" w:rsidRPr="007E797A" w:rsidRDefault="000C5255" w:rsidP="000C5255">
      <w:pPr>
        <w:jc w:val="both"/>
        <w:rPr>
          <w:b/>
          <w:bCs/>
        </w:rPr>
      </w:pPr>
    </w:p>
    <w:p w14:paraId="2E3D5108" w14:textId="77777777" w:rsidR="000C5255" w:rsidRPr="000C5255" w:rsidRDefault="000C5255" w:rsidP="000C5255">
      <w:pPr>
        <w:jc w:val="both"/>
        <w:rPr>
          <w:i/>
          <w:iCs/>
        </w:rPr>
      </w:pPr>
      <w:r w:rsidRPr="000C5255">
        <w:rPr>
          <w:i/>
          <w:iCs/>
        </w:rPr>
        <w:t>MOTIVAZIONE</w:t>
      </w:r>
    </w:p>
    <w:p w14:paraId="015A716F" w14:textId="084ABB66" w:rsidR="000C5255" w:rsidRPr="000C5255" w:rsidRDefault="000C5255" w:rsidP="000C5255">
      <w:pPr>
        <w:jc w:val="both"/>
        <w:rPr>
          <w:i/>
          <w:iCs/>
        </w:rPr>
      </w:pPr>
      <w:r w:rsidRPr="000C5255">
        <w:rPr>
          <w:i/>
          <w:iCs/>
        </w:rPr>
        <w:t xml:space="preserve">La proposta si pone l’obiettivo di contenere </w:t>
      </w:r>
      <w:r w:rsidRPr="007E797A">
        <w:rPr>
          <w:i/>
          <w:iCs/>
        </w:rPr>
        <w:t>l’impatto dei maggiori costi dei progetti PNRR sui bilanci delle Province e Città metropolitane che stanno attuando gli investimenti</w:t>
      </w:r>
      <w:r w:rsidRPr="000C5255">
        <w:rPr>
          <w:i/>
          <w:iCs/>
        </w:rPr>
        <w:t xml:space="preserve">. L’aumento dei costi dei materiali e dell’energia ha causato infatti, aumenti della spesa per singola opera che sono stati solo parzialmente coperti dal FOI e dal Fondo </w:t>
      </w:r>
      <w:r w:rsidR="00F14866" w:rsidRPr="000C5255">
        <w:rPr>
          <w:i/>
          <w:iCs/>
        </w:rPr>
        <w:t>del MIT</w:t>
      </w:r>
      <w:r w:rsidRPr="000C5255">
        <w:rPr>
          <w:i/>
          <w:iCs/>
        </w:rPr>
        <w:t xml:space="preserve"> per la prosecuzione delle opere pubbliche (FPO).</w:t>
      </w:r>
    </w:p>
    <w:p w14:paraId="71B93CF9" w14:textId="67B10F0C" w:rsidR="000C5255" w:rsidRPr="007E797A" w:rsidRDefault="000C5255" w:rsidP="000C5255">
      <w:pPr>
        <w:jc w:val="both"/>
        <w:rPr>
          <w:i/>
          <w:iCs/>
        </w:rPr>
      </w:pPr>
      <w:r w:rsidRPr="000C5255">
        <w:rPr>
          <w:i/>
          <w:iCs/>
        </w:rPr>
        <w:t xml:space="preserve">Da una ricognizione UPI, </w:t>
      </w:r>
      <w:r w:rsidR="00F14866" w:rsidRPr="000C5255">
        <w:rPr>
          <w:i/>
          <w:iCs/>
        </w:rPr>
        <w:t>la realizzazione delle opere di edilizia scolastica superiore del PNRR</w:t>
      </w:r>
      <w:r w:rsidRPr="000C5255">
        <w:rPr>
          <w:i/>
          <w:iCs/>
        </w:rPr>
        <w:t xml:space="preserve"> comporterà per le Province (e CM) un impegno finanziario </w:t>
      </w:r>
      <w:r w:rsidRPr="007E797A">
        <w:rPr>
          <w:i/>
          <w:iCs/>
        </w:rPr>
        <w:t xml:space="preserve">tra i 120 e i 150 milioni di risorse proprie aggiuntive. </w:t>
      </w:r>
    </w:p>
    <w:p w14:paraId="438938EE" w14:textId="61AA52B3" w:rsidR="000C5255" w:rsidRPr="007E797A" w:rsidRDefault="000C5255" w:rsidP="000C5255">
      <w:pPr>
        <w:jc w:val="both"/>
        <w:rPr>
          <w:i/>
          <w:iCs/>
        </w:rPr>
      </w:pPr>
      <w:r w:rsidRPr="000C5255">
        <w:rPr>
          <w:i/>
          <w:iCs/>
        </w:rPr>
        <w:t xml:space="preserve">Al fine di coprire l’aumento dei costi a carico dei bilanci delle Province, si propone di destinare </w:t>
      </w:r>
      <w:r w:rsidR="00F14866">
        <w:rPr>
          <w:i/>
          <w:iCs/>
        </w:rPr>
        <w:t>quota parte del</w:t>
      </w:r>
      <w:r w:rsidRPr="000C5255">
        <w:rPr>
          <w:i/>
          <w:iCs/>
        </w:rPr>
        <w:t>le economie riferite all’intera Missione MC4C1 al</w:t>
      </w:r>
      <w:r w:rsidRPr="000C5255">
        <w:rPr>
          <w:b/>
          <w:bCs/>
          <w:i/>
          <w:iCs/>
        </w:rPr>
        <w:t xml:space="preserve"> </w:t>
      </w:r>
      <w:r w:rsidRPr="007E797A">
        <w:rPr>
          <w:i/>
          <w:iCs/>
        </w:rPr>
        <w:t xml:space="preserve">comparto delle Province e delle </w:t>
      </w:r>
      <w:r w:rsidR="00F14866" w:rsidRPr="007E797A">
        <w:rPr>
          <w:i/>
          <w:iCs/>
        </w:rPr>
        <w:t>C</w:t>
      </w:r>
      <w:r w:rsidRPr="007E797A">
        <w:rPr>
          <w:i/>
          <w:iCs/>
        </w:rPr>
        <w:t>ittà metropolitane per contribuire alla riduzione della spesa aggiuntiva che gli enti sono obbligati a sostenere con risorse proprie.</w:t>
      </w:r>
    </w:p>
    <w:p w14:paraId="0259C9A6" w14:textId="77777777" w:rsidR="000C5255" w:rsidRPr="000C5255" w:rsidRDefault="000C5255" w:rsidP="000C5255">
      <w:pPr>
        <w:jc w:val="both"/>
        <w:rPr>
          <w:i/>
          <w:iCs/>
        </w:rPr>
      </w:pPr>
    </w:p>
    <w:p w14:paraId="117ABA2A" w14:textId="77777777" w:rsidR="000C5255" w:rsidRDefault="000C5255" w:rsidP="006731F6">
      <w:pPr>
        <w:jc w:val="both"/>
        <w:rPr>
          <w:i/>
          <w:iCs/>
        </w:rPr>
      </w:pPr>
    </w:p>
    <w:p w14:paraId="04D2E77B" w14:textId="77777777" w:rsidR="0007287D" w:rsidRDefault="0007287D" w:rsidP="006731F6">
      <w:pPr>
        <w:jc w:val="both"/>
        <w:rPr>
          <w:i/>
          <w:iCs/>
        </w:rPr>
      </w:pPr>
    </w:p>
    <w:p w14:paraId="6DD27592" w14:textId="77777777" w:rsidR="0007287D" w:rsidRDefault="0007287D" w:rsidP="006731F6">
      <w:pPr>
        <w:jc w:val="both"/>
        <w:rPr>
          <w:i/>
          <w:iCs/>
        </w:rPr>
      </w:pPr>
    </w:p>
    <w:p w14:paraId="064E7E50" w14:textId="77777777" w:rsidR="0007287D" w:rsidRDefault="0007287D" w:rsidP="006731F6">
      <w:pPr>
        <w:jc w:val="both"/>
        <w:rPr>
          <w:i/>
          <w:iCs/>
        </w:rPr>
      </w:pPr>
    </w:p>
    <w:p w14:paraId="03429BF1" w14:textId="77777777" w:rsidR="0007287D" w:rsidRDefault="0007287D" w:rsidP="006731F6">
      <w:pPr>
        <w:jc w:val="both"/>
        <w:rPr>
          <w:i/>
          <w:iCs/>
        </w:rPr>
      </w:pPr>
    </w:p>
    <w:p w14:paraId="0B92AD64" w14:textId="77777777" w:rsidR="0007287D" w:rsidRPr="00B0169D" w:rsidRDefault="0007287D" w:rsidP="0007287D">
      <w:pPr>
        <w:jc w:val="right"/>
      </w:pPr>
      <w:r w:rsidRPr="00B0169D">
        <w:t>RISORSE RENDICONTATE DAI SOGGETTI ATTUATORI</w:t>
      </w:r>
    </w:p>
    <w:p w14:paraId="15129DDD" w14:textId="77777777" w:rsidR="0007287D" w:rsidRPr="00B0169D" w:rsidRDefault="0007287D" w:rsidP="0007287D">
      <w:pPr>
        <w:rPr>
          <w:i/>
          <w:iCs/>
        </w:rPr>
      </w:pPr>
    </w:p>
    <w:p w14:paraId="063ED42C" w14:textId="77777777" w:rsidR="0007287D" w:rsidRDefault="0007287D" w:rsidP="0007287D">
      <w:pPr>
        <w:jc w:val="center"/>
        <w:rPr>
          <w:rFonts w:cs="Times New Roman"/>
          <w:b/>
          <w:bCs/>
          <w:i/>
          <w:iCs/>
        </w:rPr>
      </w:pPr>
      <w:r w:rsidRPr="00423BBF">
        <w:rPr>
          <w:rFonts w:cs="Times New Roman"/>
          <w:b/>
          <w:bCs/>
        </w:rPr>
        <w:t>Articolo 30.</w:t>
      </w:r>
      <w:r w:rsidRPr="00423BBF">
        <w:rPr>
          <w:rFonts w:cs="Times New Roman"/>
          <w:b/>
          <w:bCs/>
        </w:rPr>
        <w:br/>
      </w:r>
      <w:r w:rsidRPr="00423BBF">
        <w:rPr>
          <w:rFonts w:cs="Times New Roman"/>
          <w:b/>
          <w:bCs/>
          <w:i/>
          <w:iCs/>
        </w:rPr>
        <w:t>(Disposizioni finanziarie)</w:t>
      </w:r>
    </w:p>
    <w:p w14:paraId="335E47E5" w14:textId="77777777" w:rsidR="0007287D" w:rsidRPr="00B0169D" w:rsidRDefault="0007287D" w:rsidP="0007287D">
      <w:pPr>
        <w:rPr>
          <w:i/>
          <w:iCs/>
        </w:rPr>
      </w:pPr>
    </w:p>
    <w:p w14:paraId="42F8E09A" w14:textId="77777777" w:rsidR="0007287D" w:rsidRPr="00B0169D" w:rsidRDefault="0007287D" w:rsidP="0007287D">
      <w:r w:rsidRPr="00B0169D">
        <w:t>Dopo il comma 3 è aggiunto il seguente:</w:t>
      </w:r>
    </w:p>
    <w:p w14:paraId="60CD4790" w14:textId="77777777" w:rsidR="0007287D" w:rsidRPr="00B0169D" w:rsidRDefault="0007287D" w:rsidP="0007287D">
      <w:pPr>
        <w:jc w:val="both"/>
        <w:rPr>
          <w:b/>
          <w:bCs/>
        </w:rPr>
      </w:pPr>
      <w:r w:rsidRPr="00B0169D">
        <w:rPr>
          <w:b/>
          <w:bCs/>
        </w:rPr>
        <w:t xml:space="preserve">“3.bis – Le risorse </w:t>
      </w:r>
      <w:r>
        <w:rPr>
          <w:b/>
          <w:bCs/>
        </w:rPr>
        <w:t>assegnate ai soggetti attuatori degli interventi PNRR</w:t>
      </w:r>
      <w:r w:rsidRPr="00B0169D">
        <w:rPr>
          <w:b/>
          <w:bCs/>
        </w:rPr>
        <w:t>, sulle quali sussist</w:t>
      </w:r>
      <w:r>
        <w:rPr>
          <w:b/>
          <w:bCs/>
        </w:rPr>
        <w:t>a</w:t>
      </w:r>
      <w:r w:rsidRPr="00B0169D">
        <w:rPr>
          <w:b/>
          <w:bCs/>
        </w:rPr>
        <w:t>no obbligazioni giuridicamente vincolanti rendicontate, restano nella disponibilità degli stessi</w:t>
      </w:r>
      <w:r>
        <w:rPr>
          <w:b/>
          <w:bCs/>
        </w:rPr>
        <w:t xml:space="preserve"> soggetti attuatori</w:t>
      </w:r>
      <w:r w:rsidRPr="00B0169D">
        <w:rPr>
          <w:b/>
          <w:bCs/>
        </w:rPr>
        <w:t>.”</w:t>
      </w:r>
    </w:p>
    <w:p w14:paraId="1BA45D0E" w14:textId="77777777" w:rsidR="0007287D" w:rsidRDefault="0007287D" w:rsidP="006731F6">
      <w:pPr>
        <w:jc w:val="both"/>
        <w:rPr>
          <w:i/>
          <w:iCs/>
        </w:rPr>
      </w:pPr>
    </w:p>
    <w:p w14:paraId="65338546" w14:textId="77777777" w:rsidR="0007287D" w:rsidRPr="00B0169D" w:rsidRDefault="0007287D" w:rsidP="0007287D">
      <w:pPr>
        <w:rPr>
          <w:i/>
          <w:iCs/>
        </w:rPr>
      </w:pPr>
      <w:r w:rsidRPr="00B0169D">
        <w:rPr>
          <w:i/>
          <w:iCs/>
        </w:rPr>
        <w:t>MOTIVAZIONE</w:t>
      </w:r>
    </w:p>
    <w:p w14:paraId="048CC69E" w14:textId="77777777" w:rsidR="0007287D" w:rsidRPr="00B0169D" w:rsidRDefault="0007287D" w:rsidP="0007287D">
      <w:pPr>
        <w:rPr>
          <w:i/>
          <w:iCs/>
        </w:rPr>
      </w:pPr>
    </w:p>
    <w:p w14:paraId="27AC5C5D" w14:textId="77777777" w:rsidR="0007287D" w:rsidRPr="00B0169D" w:rsidRDefault="0007287D" w:rsidP="0007287D">
      <w:pPr>
        <w:jc w:val="both"/>
        <w:rPr>
          <w:i/>
          <w:iCs/>
        </w:rPr>
      </w:pPr>
      <w:r w:rsidRPr="00B0169D">
        <w:rPr>
          <w:i/>
          <w:iCs/>
        </w:rPr>
        <w:t xml:space="preserve">Nella fase conclusiva del PNRR, è necessario per gli enti locali soggetti attuatori avere la garanzia che le risorse ricevute, utilizzate e rendicontate per progetti destinati al conseguimento degli obiettivi PNRR, non possano essere richieste indietro da parte delle Amministrazioni titolari, poiché questo comporta un elevato rischio di generare un potenziale squilibrio di bilancio, stante la perdurante incertezza circa i tempi e le modalità di conseguimento degli obiettivi medesimi. </w:t>
      </w:r>
    </w:p>
    <w:p w14:paraId="1CC5A40F" w14:textId="77777777" w:rsidR="0007287D" w:rsidRDefault="0007287D" w:rsidP="006731F6">
      <w:pPr>
        <w:jc w:val="both"/>
        <w:rPr>
          <w:i/>
          <w:iCs/>
        </w:rPr>
      </w:pPr>
    </w:p>
    <w:p w14:paraId="484B1C8D" w14:textId="77777777" w:rsidR="00B5121C" w:rsidRDefault="00B5121C">
      <w:pPr>
        <w:rPr>
          <w:i/>
          <w:iCs/>
        </w:rPr>
      </w:pPr>
      <w:r>
        <w:rPr>
          <w:i/>
          <w:iCs/>
        </w:rPr>
        <w:br w:type="page"/>
      </w:r>
    </w:p>
    <w:p w14:paraId="46B71FDD" w14:textId="6485024D" w:rsidR="00B5121C" w:rsidRDefault="00B5121C" w:rsidP="00B5121C">
      <w:pPr>
        <w:jc w:val="right"/>
        <w:rPr>
          <w:rFonts w:cs="Times New Roman"/>
        </w:rPr>
      </w:pPr>
      <w:r>
        <w:rPr>
          <w:rFonts w:cs="Times New Roman"/>
        </w:rPr>
        <w:lastRenderedPageBreak/>
        <w:t xml:space="preserve">PROSECUZIONE E CONCLUSIONE DI INTERVENTI IN FASE AVANZATA DI ESECUZIONE </w:t>
      </w:r>
    </w:p>
    <w:p w14:paraId="7A4E3520" w14:textId="77777777" w:rsidR="00B5121C" w:rsidRDefault="00B5121C" w:rsidP="00B5121C">
      <w:pPr>
        <w:jc w:val="both"/>
        <w:rPr>
          <w:rFonts w:cs="Times New Roman"/>
        </w:rPr>
      </w:pPr>
    </w:p>
    <w:p w14:paraId="255916A5" w14:textId="77777777" w:rsidR="00B5121C" w:rsidRDefault="00B5121C" w:rsidP="00B5121C">
      <w:pPr>
        <w:jc w:val="center"/>
        <w:rPr>
          <w:rFonts w:cs="Times New Roman"/>
          <w:b/>
          <w:bCs/>
          <w:i/>
          <w:iCs/>
        </w:rPr>
      </w:pPr>
      <w:r w:rsidRPr="00423BBF">
        <w:rPr>
          <w:rFonts w:cs="Times New Roman"/>
          <w:b/>
          <w:bCs/>
        </w:rPr>
        <w:t>Articolo 30.</w:t>
      </w:r>
      <w:r w:rsidRPr="00423BBF">
        <w:rPr>
          <w:rFonts w:cs="Times New Roman"/>
          <w:b/>
          <w:bCs/>
        </w:rPr>
        <w:br/>
      </w:r>
      <w:r w:rsidRPr="00423BBF">
        <w:rPr>
          <w:rFonts w:cs="Times New Roman"/>
          <w:b/>
          <w:bCs/>
          <w:i/>
          <w:iCs/>
        </w:rPr>
        <w:t>(Disposizioni finanziarie)</w:t>
      </w:r>
    </w:p>
    <w:p w14:paraId="3726E0E9" w14:textId="77777777" w:rsidR="00B0169D" w:rsidRDefault="00B5121C" w:rsidP="00B5121C">
      <w:pPr>
        <w:jc w:val="both"/>
      </w:pPr>
      <w:r>
        <w:t>Al comma 5, dopo la lettera b) è aggiunta la seguente lettera:</w:t>
      </w:r>
    </w:p>
    <w:p w14:paraId="65C681E5" w14:textId="31ED5514" w:rsidR="00B5121C" w:rsidRPr="00B0169D" w:rsidRDefault="00B5121C" w:rsidP="00B5121C">
      <w:pPr>
        <w:jc w:val="both"/>
        <w:rPr>
          <w:b/>
          <w:bCs/>
        </w:rPr>
      </w:pPr>
      <w:r w:rsidRPr="00B0169D">
        <w:rPr>
          <w:b/>
          <w:bCs/>
        </w:rPr>
        <w:t xml:space="preserve"> “b-bis) delle autorizzazioni di spesa per il Ministero dell’Istruzione e del Merito per la prosecuzione e il completamento dei lavori relativi alla Missione 4-C1, Investimenti 1.2, 1.3 e 3</w:t>
      </w:r>
      <w:r w:rsidR="000C5255" w:rsidRPr="00B0169D">
        <w:rPr>
          <w:b/>
          <w:bCs/>
        </w:rPr>
        <w:t>.</w:t>
      </w:r>
      <w:r w:rsidRPr="00B0169D">
        <w:rPr>
          <w:b/>
          <w:bCs/>
        </w:rPr>
        <w:t>3</w:t>
      </w:r>
      <w:r w:rsidR="0007287D">
        <w:rPr>
          <w:b/>
          <w:bCs/>
        </w:rPr>
        <w:t xml:space="preserve"> </w:t>
      </w:r>
      <w:r w:rsidRPr="00B0169D">
        <w:rPr>
          <w:b/>
          <w:bCs/>
        </w:rPr>
        <w:t>per interventi del PNRR non conclusi per cause non imputabili ai soggetti attuatori, per i quali sia stata presentata, entro la data del 30 giugno 2026, una rendicontazione degli stati di avanzamento pari o superiore al 50% delle opere da realizzare.”</w:t>
      </w:r>
    </w:p>
    <w:p w14:paraId="0B7212C0" w14:textId="77777777" w:rsidR="00B5121C" w:rsidRDefault="00B5121C" w:rsidP="00B5121C">
      <w:pPr>
        <w:jc w:val="both"/>
      </w:pPr>
    </w:p>
    <w:p w14:paraId="7D2BCDD0" w14:textId="77777777" w:rsidR="00B5121C" w:rsidRDefault="00B5121C" w:rsidP="00423BBF">
      <w:pPr>
        <w:jc w:val="both"/>
        <w:rPr>
          <w:i/>
          <w:iCs/>
        </w:rPr>
      </w:pPr>
      <w:r>
        <w:t xml:space="preserve"> </w:t>
      </w:r>
      <w:r w:rsidRPr="00357B82">
        <w:rPr>
          <w:i/>
          <w:iCs/>
        </w:rPr>
        <w:t>MOTIVAZIONE</w:t>
      </w:r>
    </w:p>
    <w:p w14:paraId="33E6085F" w14:textId="23E00522" w:rsidR="00B5121C" w:rsidRDefault="00B5121C" w:rsidP="00423BBF">
      <w:pPr>
        <w:jc w:val="both"/>
        <w:rPr>
          <w:i/>
          <w:iCs/>
        </w:rPr>
      </w:pPr>
      <w:r>
        <w:rPr>
          <w:i/>
          <w:iCs/>
        </w:rPr>
        <w:t xml:space="preserve">La proposta mira ad </w:t>
      </w:r>
      <w:r w:rsidRPr="00B5121C">
        <w:rPr>
          <w:i/>
          <w:iCs/>
        </w:rPr>
        <w:t xml:space="preserve">assicurare la prosecuzione delle opere che dovessero superare la scadenza del </w:t>
      </w:r>
      <w:r>
        <w:rPr>
          <w:i/>
          <w:iCs/>
        </w:rPr>
        <w:t xml:space="preserve">30 giugno </w:t>
      </w:r>
      <w:r w:rsidRPr="00B5121C">
        <w:rPr>
          <w:i/>
          <w:iCs/>
        </w:rPr>
        <w:t xml:space="preserve">2026 per cause non imputabili agli enti. </w:t>
      </w:r>
      <w:r>
        <w:rPr>
          <w:i/>
          <w:iCs/>
        </w:rPr>
        <w:t xml:space="preserve">Si chiede che nel decreto sia garantita la </w:t>
      </w:r>
      <w:r w:rsidRPr="00B5121C">
        <w:rPr>
          <w:i/>
          <w:iCs/>
        </w:rPr>
        <w:t xml:space="preserve">prosecuzione </w:t>
      </w:r>
      <w:r>
        <w:rPr>
          <w:i/>
          <w:iCs/>
        </w:rPr>
        <w:t xml:space="preserve">dei </w:t>
      </w:r>
      <w:r w:rsidRPr="00B5121C">
        <w:rPr>
          <w:i/>
          <w:iCs/>
        </w:rPr>
        <w:t xml:space="preserve">progetti </w:t>
      </w:r>
      <w:r>
        <w:rPr>
          <w:i/>
          <w:iCs/>
        </w:rPr>
        <w:t xml:space="preserve">e delle opere </w:t>
      </w:r>
      <w:r w:rsidR="00F14866">
        <w:rPr>
          <w:i/>
          <w:iCs/>
        </w:rPr>
        <w:t xml:space="preserve">che, </w:t>
      </w:r>
      <w:r w:rsidRPr="00B5121C">
        <w:rPr>
          <w:i/>
          <w:iCs/>
        </w:rPr>
        <w:t>per cause di forza maggiore (contenziosi con ditte, interruzioni di lavori imposti d’autorità, mancata tempestività nel confronto con le strutture titolari dei progetti)</w:t>
      </w:r>
      <w:r>
        <w:rPr>
          <w:i/>
          <w:iCs/>
        </w:rPr>
        <w:t xml:space="preserve"> </w:t>
      </w:r>
      <w:r w:rsidRPr="00B5121C">
        <w:rPr>
          <w:i/>
          <w:iCs/>
        </w:rPr>
        <w:t>saranno completati oltre i termini previsti</w:t>
      </w:r>
      <w:r>
        <w:rPr>
          <w:i/>
          <w:iCs/>
        </w:rPr>
        <w:t xml:space="preserve">, fermo restando l’obiettivo del </w:t>
      </w:r>
      <w:r w:rsidRPr="00B5121C">
        <w:rPr>
          <w:i/>
          <w:iCs/>
        </w:rPr>
        <w:t>raggiungimento del target della Missione cui si riferiscono</w:t>
      </w:r>
      <w:r>
        <w:rPr>
          <w:i/>
          <w:iCs/>
        </w:rPr>
        <w:t>.</w:t>
      </w:r>
    </w:p>
    <w:p w14:paraId="6B57F550" w14:textId="6EC46578" w:rsidR="00B0169D" w:rsidRDefault="00B0169D">
      <w:pPr>
        <w:rPr>
          <w:i/>
          <w:iCs/>
        </w:rPr>
      </w:pPr>
      <w:r>
        <w:rPr>
          <w:i/>
          <w:iCs/>
        </w:rPr>
        <w:br w:type="page"/>
      </w:r>
    </w:p>
    <w:p w14:paraId="0ED138FE" w14:textId="74FC4F11" w:rsidR="006F338B" w:rsidRDefault="006F338B" w:rsidP="006F338B">
      <w:pPr>
        <w:jc w:val="right"/>
        <w:rPr>
          <w:rFonts w:cs="Times New Roman"/>
        </w:rPr>
      </w:pPr>
      <w:r>
        <w:rPr>
          <w:rFonts w:cs="Times New Roman"/>
        </w:rPr>
        <w:lastRenderedPageBreak/>
        <w:t>PROSECUZIONE STRA</w:t>
      </w:r>
      <w:r w:rsidR="0007287D">
        <w:rPr>
          <w:rFonts w:cs="Times New Roman"/>
        </w:rPr>
        <w:t>L</w:t>
      </w:r>
      <w:r>
        <w:rPr>
          <w:rFonts w:cs="Times New Roman"/>
        </w:rPr>
        <w:t>CI FUNZIONALI E OPERE COMPLEMENTARI</w:t>
      </w:r>
    </w:p>
    <w:p w14:paraId="0B84208C" w14:textId="77777777" w:rsidR="006F338B" w:rsidRDefault="006F338B" w:rsidP="006F338B">
      <w:pPr>
        <w:jc w:val="both"/>
        <w:rPr>
          <w:rFonts w:cs="Times New Roman"/>
        </w:rPr>
      </w:pPr>
    </w:p>
    <w:p w14:paraId="66E15E25" w14:textId="77777777" w:rsidR="006F338B" w:rsidRDefault="006F338B" w:rsidP="006F338B">
      <w:pPr>
        <w:jc w:val="center"/>
        <w:rPr>
          <w:rFonts w:cs="Times New Roman"/>
          <w:b/>
          <w:bCs/>
          <w:i/>
          <w:iCs/>
        </w:rPr>
      </w:pPr>
      <w:r w:rsidRPr="00423BBF">
        <w:rPr>
          <w:rFonts w:cs="Times New Roman"/>
          <w:b/>
          <w:bCs/>
        </w:rPr>
        <w:t>Articolo 30.</w:t>
      </w:r>
      <w:r w:rsidRPr="00423BBF">
        <w:rPr>
          <w:rFonts w:cs="Times New Roman"/>
          <w:b/>
          <w:bCs/>
        </w:rPr>
        <w:br/>
      </w:r>
      <w:r w:rsidRPr="00423BBF">
        <w:rPr>
          <w:rFonts w:cs="Times New Roman"/>
          <w:b/>
          <w:bCs/>
          <w:i/>
          <w:iCs/>
        </w:rPr>
        <w:t>(Disposizioni finanziarie)</w:t>
      </w:r>
    </w:p>
    <w:p w14:paraId="08F21E9A" w14:textId="77777777" w:rsidR="006F338B" w:rsidRDefault="006F338B" w:rsidP="006F338B">
      <w:pPr>
        <w:jc w:val="both"/>
      </w:pPr>
      <w:r>
        <w:t xml:space="preserve">Al comma 5, dopo la lettera b) è aggiunta la seguente lettera: </w:t>
      </w:r>
    </w:p>
    <w:p w14:paraId="6EE58FA0" w14:textId="46CF48B6" w:rsidR="006F338B" w:rsidRPr="006F338B" w:rsidRDefault="006F338B" w:rsidP="006F338B">
      <w:pPr>
        <w:jc w:val="both"/>
        <w:rPr>
          <w:b/>
          <w:bCs/>
        </w:rPr>
      </w:pPr>
      <w:r w:rsidRPr="006F338B">
        <w:rPr>
          <w:b/>
          <w:bCs/>
        </w:rPr>
        <w:t xml:space="preserve">“b-bis) delle autorizzazioni di spesa </w:t>
      </w:r>
      <w:r w:rsidR="0007287D">
        <w:rPr>
          <w:b/>
          <w:bCs/>
        </w:rPr>
        <w:t>di pertinenza de</w:t>
      </w:r>
      <w:r w:rsidRPr="006F338B">
        <w:rPr>
          <w:b/>
          <w:bCs/>
        </w:rPr>
        <w:t>l Ministero dell’Istruzione e del Merito</w:t>
      </w:r>
      <w:r w:rsidR="0007287D">
        <w:rPr>
          <w:b/>
          <w:bCs/>
        </w:rPr>
        <w:t>,</w:t>
      </w:r>
      <w:r w:rsidRPr="006F338B">
        <w:rPr>
          <w:b/>
          <w:bCs/>
        </w:rPr>
        <w:t xml:space="preserve"> </w:t>
      </w:r>
      <w:r w:rsidR="0007287D" w:rsidRPr="006F338B">
        <w:rPr>
          <w:b/>
          <w:bCs/>
        </w:rPr>
        <w:t>per</w:t>
      </w:r>
      <w:r w:rsidR="0007287D">
        <w:rPr>
          <w:b/>
          <w:bCs/>
        </w:rPr>
        <w:t xml:space="preserve"> </w:t>
      </w:r>
      <w:r w:rsidR="0007287D" w:rsidRPr="006F338B">
        <w:rPr>
          <w:b/>
          <w:bCs/>
        </w:rPr>
        <w:t>gli stralci funzionali</w:t>
      </w:r>
      <w:r w:rsidR="0007287D">
        <w:rPr>
          <w:b/>
          <w:bCs/>
        </w:rPr>
        <w:t xml:space="preserve"> e</w:t>
      </w:r>
      <w:r w:rsidR="0007287D" w:rsidRPr="006F338B">
        <w:rPr>
          <w:b/>
          <w:bCs/>
        </w:rPr>
        <w:t xml:space="preserve"> le opere complementari </w:t>
      </w:r>
      <w:r w:rsidR="0007287D">
        <w:rPr>
          <w:b/>
          <w:bCs/>
        </w:rPr>
        <w:t>relativi agli interventi de</w:t>
      </w:r>
      <w:r w:rsidRPr="006F338B">
        <w:rPr>
          <w:b/>
          <w:bCs/>
        </w:rPr>
        <w:t>lla Missione 4-C1, Investimenti 1.2, 1.3 e 3.3”</w:t>
      </w:r>
      <w:r w:rsidR="00F710FA">
        <w:rPr>
          <w:b/>
          <w:bCs/>
        </w:rPr>
        <w:t>.</w:t>
      </w:r>
    </w:p>
    <w:p w14:paraId="77C3D353" w14:textId="77777777" w:rsidR="006F338B" w:rsidRDefault="006F338B" w:rsidP="006F338B">
      <w:pPr>
        <w:jc w:val="both"/>
      </w:pPr>
    </w:p>
    <w:p w14:paraId="2E8F0E11" w14:textId="77777777" w:rsidR="006F338B" w:rsidRDefault="006F338B" w:rsidP="006F338B">
      <w:pPr>
        <w:jc w:val="both"/>
        <w:rPr>
          <w:i/>
          <w:iCs/>
        </w:rPr>
      </w:pPr>
      <w:r>
        <w:t xml:space="preserve"> </w:t>
      </w:r>
      <w:r w:rsidRPr="00357B82">
        <w:rPr>
          <w:i/>
          <w:iCs/>
        </w:rPr>
        <w:t>MOTIVAZIONE</w:t>
      </w:r>
    </w:p>
    <w:p w14:paraId="411B5FD8" w14:textId="19254004" w:rsidR="006F338B" w:rsidRDefault="006F338B" w:rsidP="006F338B">
      <w:pPr>
        <w:jc w:val="both"/>
        <w:rPr>
          <w:i/>
          <w:iCs/>
        </w:rPr>
      </w:pPr>
      <w:r>
        <w:rPr>
          <w:i/>
          <w:iCs/>
        </w:rPr>
        <w:t xml:space="preserve">La proposta mira ad </w:t>
      </w:r>
      <w:r w:rsidRPr="00B5121C">
        <w:rPr>
          <w:i/>
          <w:iCs/>
        </w:rPr>
        <w:t xml:space="preserve">assicurare la prosecuzione </w:t>
      </w:r>
      <w:r>
        <w:rPr>
          <w:i/>
          <w:iCs/>
        </w:rPr>
        <w:t>dei lavori rispetto alle opere complementari che servono a completare i lotti funzionali autorizzati dall’amministrazione titolare, che sono stati conclusi dagli enti attuatori e sono stati calcolati ai fini del raggiungimento del target.</w:t>
      </w:r>
    </w:p>
    <w:p w14:paraId="5B84C047" w14:textId="77777777" w:rsidR="00B22C61" w:rsidRPr="00FE349A" w:rsidRDefault="00B22C61" w:rsidP="008519A3">
      <w:pPr>
        <w:rPr>
          <w:i/>
          <w:iCs/>
        </w:rPr>
      </w:pPr>
    </w:p>
    <w:sectPr w:rsidR="00B22C61" w:rsidRPr="00FE349A" w:rsidSect="00F710F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761F" w14:textId="77777777" w:rsidR="009C6F21" w:rsidRDefault="009C6F21" w:rsidP="00F710FA">
      <w:pPr>
        <w:spacing w:after="0" w:line="240" w:lineRule="auto"/>
      </w:pPr>
      <w:r>
        <w:separator/>
      </w:r>
    </w:p>
  </w:endnote>
  <w:endnote w:type="continuationSeparator" w:id="0">
    <w:p w14:paraId="3EDEBE32" w14:textId="77777777" w:rsidR="009C6F21" w:rsidRDefault="009C6F21" w:rsidP="00F7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3848" w14:textId="77777777" w:rsidR="00F710FA" w:rsidRDefault="00F710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852535"/>
      <w:docPartObj>
        <w:docPartGallery w:val="Page Numbers (Bottom of Page)"/>
        <w:docPartUnique/>
      </w:docPartObj>
    </w:sdtPr>
    <w:sdtContent>
      <w:p w14:paraId="77807778" w14:textId="5FF22FE4" w:rsidR="00F710FA" w:rsidRDefault="00F710FA">
        <w:pPr>
          <w:pStyle w:val="Pidipagina"/>
          <w:jc w:val="right"/>
        </w:pPr>
        <w:r>
          <w:fldChar w:fldCharType="begin"/>
        </w:r>
        <w:r>
          <w:instrText>PAGE   \* MERGEFORMAT</w:instrText>
        </w:r>
        <w:r>
          <w:fldChar w:fldCharType="separate"/>
        </w:r>
        <w:r>
          <w:t>2</w:t>
        </w:r>
        <w:r>
          <w:fldChar w:fldCharType="end"/>
        </w:r>
      </w:p>
    </w:sdtContent>
  </w:sdt>
  <w:p w14:paraId="2A3F6A02" w14:textId="77777777" w:rsidR="00F710FA" w:rsidRDefault="00F710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10D5" w14:textId="77777777" w:rsidR="00F710FA" w:rsidRDefault="00F710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4E65" w14:textId="77777777" w:rsidR="009C6F21" w:rsidRDefault="009C6F21" w:rsidP="00F710FA">
      <w:pPr>
        <w:spacing w:after="0" w:line="240" w:lineRule="auto"/>
      </w:pPr>
      <w:r>
        <w:separator/>
      </w:r>
    </w:p>
  </w:footnote>
  <w:footnote w:type="continuationSeparator" w:id="0">
    <w:p w14:paraId="60ACBBAC" w14:textId="77777777" w:rsidR="009C6F21" w:rsidRDefault="009C6F21" w:rsidP="00F71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0332" w14:textId="77777777" w:rsidR="00F710FA" w:rsidRDefault="00F710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EDB3" w14:textId="77777777" w:rsidR="00F710FA" w:rsidRDefault="00F710F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9018" w14:textId="77777777" w:rsidR="00F710FA" w:rsidRDefault="00F710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3F9"/>
    <w:multiLevelType w:val="hybridMultilevel"/>
    <w:tmpl w:val="FC68DC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EF7457"/>
    <w:multiLevelType w:val="hybridMultilevel"/>
    <w:tmpl w:val="91AE2E7C"/>
    <w:lvl w:ilvl="0" w:tplc="9DC63C8E">
      <w:start w:val="1"/>
      <w:numFmt w:val="upperLetter"/>
      <w:lvlText w:val="%1)"/>
      <w:lvlJc w:val="left"/>
      <w:pPr>
        <w:ind w:left="405" w:hanging="360"/>
      </w:pPr>
      <w:rPr>
        <w:rFonts w:hint="default"/>
        <w:b/>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15:restartNumberingAfterBreak="0">
    <w:nsid w:val="1724651E"/>
    <w:multiLevelType w:val="hybridMultilevel"/>
    <w:tmpl w:val="201ACA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F41FCD"/>
    <w:multiLevelType w:val="hybridMultilevel"/>
    <w:tmpl w:val="91AE2E7C"/>
    <w:lvl w:ilvl="0" w:tplc="FFFFFFFF">
      <w:start w:val="1"/>
      <w:numFmt w:val="upperLetter"/>
      <w:lvlText w:val="%1)"/>
      <w:lvlJc w:val="left"/>
      <w:pPr>
        <w:ind w:left="405" w:hanging="360"/>
      </w:pPr>
      <w:rPr>
        <w:rFonts w:hint="default"/>
        <w:b/>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 w15:restartNumberingAfterBreak="0">
    <w:nsid w:val="31F535F0"/>
    <w:multiLevelType w:val="hybridMultilevel"/>
    <w:tmpl w:val="03AC306E"/>
    <w:lvl w:ilvl="0" w:tplc="37CAAF92">
      <w:start w:val="1"/>
      <w:numFmt w:val="lowerLetter"/>
      <w:lvlText w:val="%1)"/>
      <w:lvlJc w:val="left"/>
      <w:pPr>
        <w:ind w:left="720" w:hanging="360"/>
      </w:pPr>
      <w:rPr>
        <w:rFonts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C17E82"/>
    <w:multiLevelType w:val="hybridMultilevel"/>
    <w:tmpl w:val="B97A2D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CE4802"/>
    <w:multiLevelType w:val="multilevel"/>
    <w:tmpl w:val="77C8AA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A283F83"/>
    <w:multiLevelType w:val="hybridMultilevel"/>
    <w:tmpl w:val="C110281E"/>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3DB86D51"/>
    <w:multiLevelType w:val="hybridMultilevel"/>
    <w:tmpl w:val="DAFC86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3C404D"/>
    <w:multiLevelType w:val="hybridMultilevel"/>
    <w:tmpl w:val="3FC4C9A0"/>
    <w:lvl w:ilvl="0" w:tplc="4B1ABA7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140E6A"/>
    <w:multiLevelType w:val="hybridMultilevel"/>
    <w:tmpl w:val="099E487E"/>
    <w:lvl w:ilvl="0" w:tplc="49D0FE1C">
      <w:start w:val="1"/>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FF01EB"/>
    <w:multiLevelType w:val="multilevel"/>
    <w:tmpl w:val="771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A23D3"/>
    <w:multiLevelType w:val="hybridMultilevel"/>
    <w:tmpl w:val="CA800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CF05FF"/>
    <w:multiLevelType w:val="hybridMultilevel"/>
    <w:tmpl w:val="8C0079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571F28"/>
    <w:multiLevelType w:val="hybridMultilevel"/>
    <w:tmpl w:val="FC68DC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E449F7"/>
    <w:multiLevelType w:val="hybridMultilevel"/>
    <w:tmpl w:val="36B066A2"/>
    <w:lvl w:ilvl="0" w:tplc="055258AC">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BF37E4"/>
    <w:multiLevelType w:val="hybridMultilevel"/>
    <w:tmpl w:val="07DAB562"/>
    <w:lvl w:ilvl="0" w:tplc="898E9E28">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68CF29C1"/>
    <w:multiLevelType w:val="hybridMultilevel"/>
    <w:tmpl w:val="8C0079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2BF681B"/>
    <w:multiLevelType w:val="hybridMultilevel"/>
    <w:tmpl w:val="B046E6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0A6F8D"/>
    <w:multiLevelType w:val="hybridMultilevel"/>
    <w:tmpl w:val="6C686A3C"/>
    <w:lvl w:ilvl="0" w:tplc="94F87EB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9DD6029"/>
    <w:multiLevelType w:val="hybridMultilevel"/>
    <w:tmpl w:val="A3A2EB1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7C0B15D8"/>
    <w:multiLevelType w:val="hybridMultilevel"/>
    <w:tmpl w:val="CA3AA6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E7104A2"/>
    <w:multiLevelType w:val="hybridMultilevel"/>
    <w:tmpl w:val="BA42E7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570945">
    <w:abstractNumId w:val="5"/>
  </w:num>
  <w:num w:numId="2" w16cid:durableId="983389221">
    <w:abstractNumId w:val="19"/>
  </w:num>
  <w:num w:numId="3" w16cid:durableId="1442653195">
    <w:abstractNumId w:val="12"/>
  </w:num>
  <w:num w:numId="4" w16cid:durableId="1162350876">
    <w:abstractNumId w:val="2"/>
  </w:num>
  <w:num w:numId="5" w16cid:durableId="2013333429">
    <w:abstractNumId w:val="8"/>
  </w:num>
  <w:num w:numId="6" w16cid:durableId="1854101381">
    <w:abstractNumId w:val="17"/>
  </w:num>
  <w:num w:numId="7" w16cid:durableId="1005792129">
    <w:abstractNumId w:val="13"/>
  </w:num>
  <w:num w:numId="8" w16cid:durableId="1089042201">
    <w:abstractNumId w:val="1"/>
  </w:num>
  <w:num w:numId="9" w16cid:durableId="1343582723">
    <w:abstractNumId w:val="10"/>
  </w:num>
  <w:num w:numId="10" w16cid:durableId="2138061190">
    <w:abstractNumId w:val="15"/>
  </w:num>
  <w:num w:numId="11" w16cid:durableId="1348751572">
    <w:abstractNumId w:val="11"/>
  </w:num>
  <w:num w:numId="12" w16cid:durableId="2071222388">
    <w:abstractNumId w:val="4"/>
  </w:num>
  <w:num w:numId="13" w16cid:durableId="1033384866">
    <w:abstractNumId w:val="3"/>
  </w:num>
  <w:num w:numId="14" w16cid:durableId="1689211371">
    <w:abstractNumId w:val="18"/>
  </w:num>
  <w:num w:numId="15" w16cid:durableId="1386955152">
    <w:abstractNumId w:val="14"/>
  </w:num>
  <w:num w:numId="16" w16cid:durableId="506671526">
    <w:abstractNumId w:val="7"/>
  </w:num>
  <w:num w:numId="17" w16cid:durableId="312683901">
    <w:abstractNumId w:val="16"/>
  </w:num>
  <w:num w:numId="18" w16cid:durableId="875702148">
    <w:abstractNumId w:val="9"/>
  </w:num>
  <w:num w:numId="19" w16cid:durableId="1638412785">
    <w:abstractNumId w:val="0"/>
  </w:num>
  <w:num w:numId="20" w16cid:durableId="1033653368">
    <w:abstractNumId w:val="21"/>
  </w:num>
  <w:num w:numId="21" w16cid:durableId="252397705">
    <w:abstractNumId w:val="6"/>
  </w:num>
  <w:num w:numId="22" w16cid:durableId="1835948927">
    <w:abstractNumId w:val="22"/>
  </w:num>
  <w:num w:numId="23" w16cid:durableId="205797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5"/>
    <w:rsid w:val="0001718E"/>
    <w:rsid w:val="00017620"/>
    <w:rsid w:val="00022FC8"/>
    <w:rsid w:val="00027A52"/>
    <w:rsid w:val="00032BAD"/>
    <w:rsid w:val="00043C56"/>
    <w:rsid w:val="0007287D"/>
    <w:rsid w:val="00076D8B"/>
    <w:rsid w:val="00087818"/>
    <w:rsid w:val="000A284D"/>
    <w:rsid w:val="000B3AE7"/>
    <w:rsid w:val="000C5255"/>
    <w:rsid w:val="00145B26"/>
    <w:rsid w:val="0016362F"/>
    <w:rsid w:val="001770D9"/>
    <w:rsid w:val="00197249"/>
    <w:rsid w:val="001D037F"/>
    <w:rsid w:val="00200B59"/>
    <w:rsid w:val="002462A7"/>
    <w:rsid w:val="00252B80"/>
    <w:rsid w:val="002A6CEB"/>
    <w:rsid w:val="002E0282"/>
    <w:rsid w:val="002E686E"/>
    <w:rsid w:val="00303C23"/>
    <w:rsid w:val="00311CFF"/>
    <w:rsid w:val="00315DD7"/>
    <w:rsid w:val="0033397D"/>
    <w:rsid w:val="00344662"/>
    <w:rsid w:val="00357B82"/>
    <w:rsid w:val="00372954"/>
    <w:rsid w:val="00377992"/>
    <w:rsid w:val="00391EC0"/>
    <w:rsid w:val="003F5E25"/>
    <w:rsid w:val="00414ABC"/>
    <w:rsid w:val="00423BBF"/>
    <w:rsid w:val="00484ECE"/>
    <w:rsid w:val="004E0044"/>
    <w:rsid w:val="0052083C"/>
    <w:rsid w:val="00534022"/>
    <w:rsid w:val="00571404"/>
    <w:rsid w:val="005C31C6"/>
    <w:rsid w:val="005F16A2"/>
    <w:rsid w:val="006150F9"/>
    <w:rsid w:val="006166C1"/>
    <w:rsid w:val="00655779"/>
    <w:rsid w:val="006731F6"/>
    <w:rsid w:val="006B0578"/>
    <w:rsid w:val="006B70F0"/>
    <w:rsid w:val="006F0B87"/>
    <w:rsid w:val="006F338B"/>
    <w:rsid w:val="0070006F"/>
    <w:rsid w:val="00753C55"/>
    <w:rsid w:val="00774D23"/>
    <w:rsid w:val="00780FC5"/>
    <w:rsid w:val="00794585"/>
    <w:rsid w:val="00796329"/>
    <w:rsid w:val="007C1CD2"/>
    <w:rsid w:val="007D6E58"/>
    <w:rsid w:val="007E797A"/>
    <w:rsid w:val="008325C6"/>
    <w:rsid w:val="008418E6"/>
    <w:rsid w:val="0084468A"/>
    <w:rsid w:val="008519A3"/>
    <w:rsid w:val="00860E53"/>
    <w:rsid w:val="00894514"/>
    <w:rsid w:val="00896952"/>
    <w:rsid w:val="008A4906"/>
    <w:rsid w:val="008B3F62"/>
    <w:rsid w:val="008E7E84"/>
    <w:rsid w:val="008F24B4"/>
    <w:rsid w:val="00901488"/>
    <w:rsid w:val="00913CF9"/>
    <w:rsid w:val="009627AA"/>
    <w:rsid w:val="00985A05"/>
    <w:rsid w:val="009C59FA"/>
    <w:rsid w:val="009C6F21"/>
    <w:rsid w:val="009E4113"/>
    <w:rsid w:val="00A146EF"/>
    <w:rsid w:val="00A20E6F"/>
    <w:rsid w:val="00A84F4D"/>
    <w:rsid w:val="00AB2924"/>
    <w:rsid w:val="00AB442B"/>
    <w:rsid w:val="00AC495D"/>
    <w:rsid w:val="00AF58C6"/>
    <w:rsid w:val="00B0169D"/>
    <w:rsid w:val="00B22C61"/>
    <w:rsid w:val="00B5121C"/>
    <w:rsid w:val="00B51280"/>
    <w:rsid w:val="00B657A6"/>
    <w:rsid w:val="00B7244E"/>
    <w:rsid w:val="00B81A87"/>
    <w:rsid w:val="00BB7E03"/>
    <w:rsid w:val="00BF7810"/>
    <w:rsid w:val="00C13A5E"/>
    <w:rsid w:val="00C26739"/>
    <w:rsid w:val="00C304A1"/>
    <w:rsid w:val="00C43426"/>
    <w:rsid w:val="00C50828"/>
    <w:rsid w:val="00C5195D"/>
    <w:rsid w:val="00C75FA0"/>
    <w:rsid w:val="00C84861"/>
    <w:rsid w:val="00CB3EE4"/>
    <w:rsid w:val="00CD525E"/>
    <w:rsid w:val="00CF5F78"/>
    <w:rsid w:val="00D04C46"/>
    <w:rsid w:val="00D15DDD"/>
    <w:rsid w:val="00D16497"/>
    <w:rsid w:val="00D17C25"/>
    <w:rsid w:val="00DA40E2"/>
    <w:rsid w:val="00DA6B0B"/>
    <w:rsid w:val="00E04055"/>
    <w:rsid w:val="00E4164A"/>
    <w:rsid w:val="00E60A96"/>
    <w:rsid w:val="00E75E95"/>
    <w:rsid w:val="00E82563"/>
    <w:rsid w:val="00F12762"/>
    <w:rsid w:val="00F14866"/>
    <w:rsid w:val="00F65841"/>
    <w:rsid w:val="00F710FA"/>
    <w:rsid w:val="00F87DD0"/>
    <w:rsid w:val="00F94926"/>
    <w:rsid w:val="00FB4D53"/>
    <w:rsid w:val="00FD41D3"/>
    <w:rsid w:val="00FE34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5EC6"/>
  <w15:chartTrackingRefBased/>
  <w15:docId w15:val="{2711D1AF-240E-4187-86F7-D4B5A01E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0FC5"/>
  </w:style>
  <w:style w:type="paragraph" w:styleId="Titolo1">
    <w:name w:val="heading 1"/>
    <w:basedOn w:val="Normale"/>
    <w:next w:val="Normale"/>
    <w:link w:val="Titolo1Carattere"/>
    <w:uiPriority w:val="9"/>
    <w:qFormat/>
    <w:rsid w:val="00780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0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0FC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0FC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0FC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0FC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0FC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0FC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0FC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0F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0F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0F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0F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0F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0F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0F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0F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0F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0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0F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0F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0F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0F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0FC5"/>
    <w:rPr>
      <w:i/>
      <w:iCs/>
      <w:color w:val="404040" w:themeColor="text1" w:themeTint="BF"/>
    </w:rPr>
  </w:style>
  <w:style w:type="paragraph" w:styleId="Paragrafoelenco">
    <w:name w:val="List Paragraph"/>
    <w:basedOn w:val="Normale"/>
    <w:link w:val="ParagrafoelencoCarattere"/>
    <w:uiPriority w:val="34"/>
    <w:qFormat/>
    <w:rsid w:val="00780FC5"/>
    <w:pPr>
      <w:ind w:left="720"/>
      <w:contextualSpacing/>
    </w:pPr>
  </w:style>
  <w:style w:type="character" w:styleId="Enfasiintensa">
    <w:name w:val="Intense Emphasis"/>
    <w:basedOn w:val="Carpredefinitoparagrafo"/>
    <w:uiPriority w:val="21"/>
    <w:qFormat/>
    <w:rsid w:val="00780FC5"/>
    <w:rPr>
      <w:i/>
      <w:iCs/>
      <w:color w:val="0F4761" w:themeColor="accent1" w:themeShade="BF"/>
    </w:rPr>
  </w:style>
  <w:style w:type="paragraph" w:styleId="Citazioneintensa">
    <w:name w:val="Intense Quote"/>
    <w:basedOn w:val="Normale"/>
    <w:next w:val="Normale"/>
    <w:link w:val="CitazioneintensaCarattere"/>
    <w:uiPriority w:val="30"/>
    <w:qFormat/>
    <w:rsid w:val="00780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0FC5"/>
    <w:rPr>
      <w:i/>
      <w:iCs/>
      <w:color w:val="0F4761" w:themeColor="accent1" w:themeShade="BF"/>
    </w:rPr>
  </w:style>
  <w:style w:type="character" w:styleId="Riferimentointenso">
    <w:name w:val="Intense Reference"/>
    <w:basedOn w:val="Carpredefinitoparagrafo"/>
    <w:uiPriority w:val="32"/>
    <w:qFormat/>
    <w:rsid w:val="00780FC5"/>
    <w:rPr>
      <w:b/>
      <w:bCs/>
      <w:smallCaps/>
      <w:color w:val="0F4761" w:themeColor="accent1" w:themeShade="BF"/>
      <w:spacing w:val="5"/>
    </w:rPr>
  </w:style>
  <w:style w:type="paragraph" w:customStyle="1" w:styleId="Default">
    <w:name w:val="Default"/>
    <w:rsid w:val="00C84861"/>
    <w:pPr>
      <w:autoSpaceDE w:val="0"/>
      <w:autoSpaceDN w:val="0"/>
      <w:adjustRightInd w:val="0"/>
      <w:spacing w:after="0" w:line="240" w:lineRule="auto"/>
    </w:pPr>
    <w:rPr>
      <w:rFonts w:ascii="Times New Roman" w:hAnsi="Times New Roman" w:cs="Times New Roman"/>
      <w:color w:val="000000"/>
      <w:kern w:val="0"/>
    </w:rPr>
  </w:style>
  <w:style w:type="character" w:customStyle="1" w:styleId="wk-tooltip-wrapper">
    <w:name w:val="wk-tooltip-wrapper"/>
    <w:basedOn w:val="Carpredefinitoparagrafo"/>
    <w:rsid w:val="005C31C6"/>
  </w:style>
  <w:style w:type="character" w:styleId="Collegamentoipertestuale">
    <w:name w:val="Hyperlink"/>
    <w:basedOn w:val="Carpredefinitoparagrafo"/>
    <w:uiPriority w:val="99"/>
    <w:unhideWhenUsed/>
    <w:rsid w:val="005C31C6"/>
    <w:rPr>
      <w:color w:val="0000FF"/>
      <w:u w:val="single"/>
    </w:rPr>
  </w:style>
  <w:style w:type="character" w:customStyle="1" w:styleId="ParagrafoelencoCarattere">
    <w:name w:val="Paragrafo elenco Carattere"/>
    <w:link w:val="Paragrafoelenco"/>
    <w:uiPriority w:val="34"/>
    <w:qFormat/>
    <w:locked/>
    <w:rsid w:val="006B70F0"/>
  </w:style>
  <w:style w:type="character" w:styleId="Menzionenonrisolta">
    <w:name w:val="Unresolved Mention"/>
    <w:basedOn w:val="Carpredefinitoparagrafo"/>
    <w:uiPriority w:val="99"/>
    <w:semiHidden/>
    <w:unhideWhenUsed/>
    <w:rsid w:val="008519A3"/>
    <w:rPr>
      <w:color w:val="605E5C"/>
      <w:shd w:val="clear" w:color="auto" w:fill="E1DFDD"/>
    </w:rPr>
  </w:style>
  <w:style w:type="paragraph" w:styleId="Intestazione">
    <w:name w:val="header"/>
    <w:basedOn w:val="Normale"/>
    <w:link w:val="IntestazioneCarattere"/>
    <w:uiPriority w:val="99"/>
    <w:unhideWhenUsed/>
    <w:rsid w:val="00F710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10FA"/>
  </w:style>
  <w:style w:type="paragraph" w:styleId="Pidipagina">
    <w:name w:val="footer"/>
    <w:basedOn w:val="Normale"/>
    <w:link w:val="PidipaginaCarattere"/>
    <w:uiPriority w:val="99"/>
    <w:unhideWhenUsed/>
    <w:rsid w:val="00F710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351</TotalTime>
  <Pages>12</Pages>
  <Words>2241</Words>
  <Characters>12779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upi2</dc:creator>
  <cp:keywords/>
  <dc:description/>
  <cp:lastModifiedBy>upi2</cp:lastModifiedBy>
  <cp:revision>7</cp:revision>
  <cp:lastPrinted>2026-03-05T15:31:00Z</cp:lastPrinted>
  <dcterms:created xsi:type="dcterms:W3CDTF">2026-03-05T08:39:00Z</dcterms:created>
  <dcterms:modified xsi:type="dcterms:W3CDTF">2026-03-05T16:02:00Z</dcterms:modified>
</cp:coreProperties>
</file>