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0C" w:rsidRDefault="00815B0C" w:rsidP="00056DB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Nota per intervento Commissione Bicamerale per il Federalismo Fiscale </w:t>
      </w:r>
    </w:p>
    <w:p w:rsidR="00815B0C" w:rsidRDefault="00815B0C" w:rsidP="00056DBD">
      <w:pPr>
        <w:jc w:val="center"/>
        <w:rPr>
          <w:rFonts w:ascii="Book Antiqua" w:hAnsi="Book Antiqua"/>
          <w:b/>
        </w:rPr>
      </w:pPr>
    </w:p>
    <w:p w:rsidR="00815B0C" w:rsidRDefault="00815B0C" w:rsidP="00815B0C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Lo stato dell’arte dell’attuazione della</w:t>
      </w:r>
    </w:p>
    <w:p w:rsidR="00056DBD" w:rsidRDefault="00815B0C" w:rsidP="00815B0C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l</w:t>
      </w:r>
      <w:r w:rsidR="00A97EDB" w:rsidRPr="00056DBD">
        <w:rPr>
          <w:rFonts w:ascii="Book Antiqua" w:hAnsi="Book Antiqua"/>
          <w:b/>
        </w:rPr>
        <w:t>egge</w:t>
      </w:r>
      <w:r w:rsidR="00056DBD">
        <w:rPr>
          <w:rFonts w:ascii="Book Antiqua" w:hAnsi="Book Antiqua"/>
          <w:b/>
        </w:rPr>
        <w:t xml:space="preserve"> delega per l’attuazione del federalismo fiscale:</w:t>
      </w:r>
    </w:p>
    <w:p w:rsidR="00B65C8C" w:rsidRPr="00056DBD" w:rsidRDefault="00056DBD" w:rsidP="00056DB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n.</w:t>
      </w:r>
      <w:r w:rsidR="00A97EDB" w:rsidRPr="00056DBD">
        <w:rPr>
          <w:rFonts w:ascii="Book Antiqua" w:hAnsi="Book Antiqua"/>
          <w:b/>
        </w:rPr>
        <w:t xml:space="preserve"> 42/</w:t>
      </w:r>
      <w:r>
        <w:rPr>
          <w:rFonts w:ascii="Book Antiqua" w:hAnsi="Book Antiqua"/>
          <w:b/>
        </w:rPr>
        <w:t>09</w:t>
      </w:r>
    </w:p>
    <w:p w:rsidR="00815B0C" w:rsidRDefault="00815B0C">
      <w:pPr>
        <w:rPr>
          <w:rFonts w:ascii="Book Antiqua" w:hAnsi="Book Antiqua"/>
        </w:rPr>
      </w:pPr>
    </w:p>
    <w:p w:rsidR="00815B0C" w:rsidRDefault="00815B0C">
      <w:pPr>
        <w:rPr>
          <w:rFonts w:ascii="Book Antiqua" w:hAnsi="Book Antiqua"/>
        </w:rPr>
      </w:pPr>
    </w:p>
    <w:p w:rsidR="00A97EDB" w:rsidRPr="00815B0C" w:rsidRDefault="00815B0C">
      <w:pPr>
        <w:rPr>
          <w:rFonts w:ascii="Book Antiqua" w:hAnsi="Book Antiqua"/>
          <w:b/>
          <w:i/>
        </w:rPr>
      </w:pPr>
      <w:r w:rsidRPr="00815B0C">
        <w:rPr>
          <w:rFonts w:ascii="Book Antiqua" w:hAnsi="Book Antiqua"/>
          <w:b/>
          <w:i/>
        </w:rPr>
        <w:t>PREMESSA</w:t>
      </w:r>
    </w:p>
    <w:p w:rsidR="00A97EDB" w:rsidRPr="00056DBD" w:rsidRDefault="00056DB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Dall’entrata in vigore della legge delega n.42/09 sono stati </w:t>
      </w:r>
      <w:r w:rsidR="00A97EDB" w:rsidRPr="00056DBD">
        <w:rPr>
          <w:rFonts w:ascii="Book Antiqua" w:hAnsi="Book Antiqua"/>
        </w:rPr>
        <w:t xml:space="preserve">emanati </w:t>
      </w:r>
      <w:r>
        <w:rPr>
          <w:rFonts w:ascii="Book Antiqua" w:hAnsi="Book Antiqua"/>
        </w:rPr>
        <w:t>sei</w:t>
      </w:r>
      <w:r w:rsidR="00A97EDB" w:rsidRPr="00056DBD">
        <w:rPr>
          <w:rFonts w:ascii="Book Antiqua" w:hAnsi="Book Antiqua"/>
        </w:rPr>
        <w:t xml:space="preserve"> decreti legislativi attuativi:</w:t>
      </w:r>
    </w:p>
    <w:p w:rsidR="00A97EDB" w:rsidRPr="00815B0C" w:rsidRDefault="00A97EDB" w:rsidP="00815B0C">
      <w:pPr>
        <w:pStyle w:val="Paragrafoelenco"/>
        <w:numPr>
          <w:ilvl w:val="0"/>
          <w:numId w:val="5"/>
        </w:numPr>
        <w:spacing w:after="0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Roma Capitale</w:t>
      </w:r>
      <w:r w:rsidR="00F54F2A" w:rsidRPr="00815B0C">
        <w:rPr>
          <w:rFonts w:ascii="Book Antiqua" w:hAnsi="Book Antiqua"/>
          <w:i/>
        </w:rPr>
        <w:t xml:space="preserve"> – </w:t>
      </w:r>
      <w:proofErr w:type="spellStart"/>
      <w:r w:rsidR="00F54F2A" w:rsidRPr="00815B0C">
        <w:rPr>
          <w:rFonts w:ascii="Book Antiqua" w:hAnsi="Book Antiqua"/>
          <w:i/>
        </w:rPr>
        <w:t>Dlgs</w:t>
      </w:r>
      <w:proofErr w:type="spellEnd"/>
      <w:r w:rsidR="00F54F2A" w:rsidRPr="00815B0C">
        <w:rPr>
          <w:rFonts w:ascii="Book Antiqua" w:hAnsi="Book Antiqua"/>
          <w:i/>
        </w:rPr>
        <w:t xml:space="preserve"> 156/10</w:t>
      </w:r>
    </w:p>
    <w:p w:rsidR="00A97EDB" w:rsidRPr="00815B0C" w:rsidRDefault="00A97EDB" w:rsidP="00815B0C">
      <w:pPr>
        <w:pStyle w:val="Paragrafoelenco"/>
        <w:numPr>
          <w:ilvl w:val="0"/>
          <w:numId w:val="5"/>
        </w:numPr>
        <w:spacing w:after="0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Federalismo Demaniale</w:t>
      </w:r>
      <w:r w:rsidR="00F54F2A" w:rsidRPr="00815B0C">
        <w:rPr>
          <w:rFonts w:ascii="Book Antiqua" w:hAnsi="Book Antiqua"/>
          <w:i/>
        </w:rPr>
        <w:t xml:space="preserve"> – </w:t>
      </w:r>
      <w:proofErr w:type="spellStart"/>
      <w:r w:rsidR="00F54F2A" w:rsidRPr="00815B0C">
        <w:rPr>
          <w:rFonts w:ascii="Book Antiqua" w:hAnsi="Book Antiqua"/>
          <w:i/>
        </w:rPr>
        <w:t>Dlgs</w:t>
      </w:r>
      <w:proofErr w:type="spellEnd"/>
      <w:r w:rsidR="00F54F2A" w:rsidRPr="00815B0C">
        <w:rPr>
          <w:rFonts w:ascii="Book Antiqua" w:hAnsi="Book Antiqua"/>
          <w:i/>
        </w:rPr>
        <w:t xml:space="preserve"> 85/10</w:t>
      </w:r>
    </w:p>
    <w:p w:rsidR="00A97EDB" w:rsidRPr="00815B0C" w:rsidRDefault="00A97EDB" w:rsidP="00815B0C">
      <w:pPr>
        <w:pStyle w:val="Paragrafoelenco"/>
        <w:numPr>
          <w:ilvl w:val="0"/>
          <w:numId w:val="5"/>
        </w:numPr>
        <w:spacing w:after="0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Fabbisogno Standard per gli enti locali</w:t>
      </w:r>
      <w:r w:rsidR="00F54F2A" w:rsidRPr="00815B0C">
        <w:rPr>
          <w:rFonts w:ascii="Book Antiqua" w:hAnsi="Book Antiqua"/>
          <w:i/>
        </w:rPr>
        <w:t xml:space="preserve"> – </w:t>
      </w:r>
      <w:proofErr w:type="spellStart"/>
      <w:r w:rsidR="00F54F2A" w:rsidRPr="00815B0C">
        <w:rPr>
          <w:rFonts w:ascii="Book Antiqua" w:hAnsi="Book Antiqua"/>
          <w:i/>
        </w:rPr>
        <w:t>Dlgs</w:t>
      </w:r>
      <w:proofErr w:type="spellEnd"/>
      <w:r w:rsidR="00F54F2A" w:rsidRPr="00815B0C">
        <w:rPr>
          <w:rFonts w:ascii="Book Antiqua" w:hAnsi="Book Antiqua"/>
          <w:i/>
        </w:rPr>
        <w:t xml:space="preserve"> 216/10</w:t>
      </w:r>
    </w:p>
    <w:p w:rsidR="00A97EDB" w:rsidRPr="00815B0C" w:rsidRDefault="00A97EDB" w:rsidP="00815B0C">
      <w:pPr>
        <w:pStyle w:val="Paragrafoelenco"/>
        <w:numPr>
          <w:ilvl w:val="0"/>
          <w:numId w:val="5"/>
        </w:numPr>
        <w:spacing w:after="0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Autonomia di entrata di Regioni e Province</w:t>
      </w:r>
      <w:r w:rsidR="00F54F2A" w:rsidRPr="00815B0C">
        <w:rPr>
          <w:rFonts w:ascii="Book Antiqua" w:hAnsi="Book Antiqua"/>
          <w:i/>
        </w:rPr>
        <w:t xml:space="preserve"> – </w:t>
      </w:r>
      <w:proofErr w:type="spellStart"/>
      <w:r w:rsidR="00F54F2A" w:rsidRPr="00815B0C">
        <w:rPr>
          <w:rFonts w:ascii="Book Antiqua" w:hAnsi="Book Antiqua"/>
          <w:i/>
        </w:rPr>
        <w:t>Dlgs</w:t>
      </w:r>
      <w:proofErr w:type="spellEnd"/>
      <w:r w:rsidR="00F54F2A" w:rsidRPr="00815B0C">
        <w:rPr>
          <w:rFonts w:ascii="Book Antiqua" w:hAnsi="Book Antiqua"/>
          <w:i/>
        </w:rPr>
        <w:t xml:space="preserve"> 68/11</w:t>
      </w:r>
    </w:p>
    <w:p w:rsidR="00A97EDB" w:rsidRPr="00815B0C" w:rsidRDefault="00A97EDB" w:rsidP="00815B0C">
      <w:pPr>
        <w:pStyle w:val="Paragrafoelenco"/>
        <w:numPr>
          <w:ilvl w:val="0"/>
          <w:numId w:val="5"/>
        </w:numPr>
        <w:spacing w:after="0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Federalismo Municipale</w:t>
      </w:r>
      <w:r w:rsidR="00F54F2A" w:rsidRPr="00815B0C">
        <w:rPr>
          <w:rFonts w:ascii="Book Antiqua" w:hAnsi="Book Antiqua"/>
          <w:i/>
        </w:rPr>
        <w:t xml:space="preserve"> – </w:t>
      </w:r>
      <w:proofErr w:type="spellStart"/>
      <w:r w:rsidR="00F54F2A" w:rsidRPr="00815B0C">
        <w:rPr>
          <w:rFonts w:ascii="Book Antiqua" w:hAnsi="Book Antiqua"/>
          <w:i/>
        </w:rPr>
        <w:t>Dlgs</w:t>
      </w:r>
      <w:proofErr w:type="spellEnd"/>
      <w:r w:rsidR="00F54F2A" w:rsidRPr="00815B0C">
        <w:rPr>
          <w:rFonts w:ascii="Book Antiqua" w:hAnsi="Book Antiqua"/>
          <w:i/>
        </w:rPr>
        <w:t xml:space="preserve"> 23/11</w:t>
      </w:r>
    </w:p>
    <w:p w:rsidR="00056DBD" w:rsidRPr="00815B0C" w:rsidRDefault="00056DBD" w:rsidP="00815B0C">
      <w:pPr>
        <w:pStyle w:val="Paragrafoelenco"/>
        <w:numPr>
          <w:ilvl w:val="0"/>
          <w:numId w:val="5"/>
        </w:numPr>
        <w:spacing w:after="0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Risorse aggiuntive e Interventi speciali  –</w:t>
      </w:r>
      <w:r w:rsidRPr="00815B0C">
        <w:rPr>
          <w:rFonts w:ascii="Book Antiqua" w:hAnsi="Book Antiqua"/>
        </w:rPr>
        <w:t xml:space="preserve"> </w:t>
      </w:r>
      <w:proofErr w:type="spellStart"/>
      <w:r w:rsidRPr="00815B0C">
        <w:rPr>
          <w:rFonts w:ascii="Book Antiqua" w:hAnsi="Book Antiqua"/>
          <w:i/>
        </w:rPr>
        <w:t>Dlgs</w:t>
      </w:r>
      <w:proofErr w:type="spellEnd"/>
      <w:r w:rsidRPr="00815B0C">
        <w:rPr>
          <w:rFonts w:ascii="Book Antiqua" w:hAnsi="Book Antiqua"/>
          <w:i/>
        </w:rPr>
        <w:t xml:space="preserve"> 88/11</w:t>
      </w:r>
    </w:p>
    <w:p w:rsidR="00056DBD" w:rsidRPr="00056DBD" w:rsidRDefault="00056DBD" w:rsidP="00056DBD">
      <w:pPr>
        <w:spacing w:after="0"/>
        <w:rPr>
          <w:rFonts w:ascii="Book Antiqua" w:hAnsi="Book Antiqua"/>
        </w:rPr>
      </w:pPr>
    </w:p>
    <w:p w:rsidR="00A97EDB" w:rsidRPr="00056DBD" w:rsidRDefault="00056DBD" w:rsidP="00056DBD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Inoltre è stata e</w:t>
      </w:r>
      <w:r w:rsidR="00A97EDB" w:rsidRPr="00056DBD">
        <w:rPr>
          <w:rFonts w:ascii="Book Antiqua" w:hAnsi="Book Antiqua"/>
        </w:rPr>
        <w:t xml:space="preserve">spressa intesa per altri provvedimenti  </w:t>
      </w:r>
      <w:r>
        <w:rPr>
          <w:rFonts w:ascii="Book Antiqua" w:hAnsi="Book Antiqua"/>
        </w:rPr>
        <w:t xml:space="preserve">in parte </w:t>
      </w:r>
      <w:r w:rsidR="00A97EDB" w:rsidRPr="00056DBD">
        <w:rPr>
          <w:rFonts w:ascii="Book Antiqua" w:hAnsi="Book Antiqua"/>
        </w:rPr>
        <w:t>in attesa di pubblicazione, in parte ancora all’esame delle commissioni</w:t>
      </w:r>
      <w:r>
        <w:rPr>
          <w:rFonts w:ascii="Book Antiqua" w:hAnsi="Book Antiqua"/>
        </w:rPr>
        <w:t xml:space="preserve"> parlamentari </w:t>
      </w:r>
      <w:r w:rsidR="00A97EDB" w:rsidRPr="00056DBD">
        <w:rPr>
          <w:rFonts w:ascii="Book Antiqua" w:hAnsi="Book Antiqua"/>
        </w:rPr>
        <w:t>competenti:</w:t>
      </w:r>
    </w:p>
    <w:p w:rsidR="00056DBD" w:rsidRDefault="00056DBD">
      <w:pPr>
        <w:rPr>
          <w:rFonts w:ascii="Book Antiqua" w:hAnsi="Book Antiqua"/>
        </w:rPr>
      </w:pPr>
    </w:p>
    <w:p w:rsidR="00A97EDB" w:rsidRPr="00815B0C" w:rsidRDefault="00A97EDB" w:rsidP="00815B0C">
      <w:pPr>
        <w:pStyle w:val="Paragrafoelenco"/>
        <w:numPr>
          <w:ilvl w:val="0"/>
          <w:numId w:val="5"/>
        </w:numPr>
        <w:spacing w:after="0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Armonizzazione</w:t>
      </w:r>
      <w:r w:rsidR="00F54F2A" w:rsidRPr="00815B0C">
        <w:rPr>
          <w:rFonts w:ascii="Book Antiqua" w:hAnsi="Book Antiqua"/>
          <w:i/>
        </w:rPr>
        <w:t xml:space="preserve"> sistemi contabili – approvazione definitiva in Consiglio dei Ministri il 9 maggio </w:t>
      </w:r>
    </w:p>
    <w:p w:rsidR="00A97EDB" w:rsidRPr="00815B0C" w:rsidRDefault="00A97EDB" w:rsidP="00815B0C">
      <w:pPr>
        <w:pStyle w:val="Paragrafoelenco"/>
        <w:numPr>
          <w:ilvl w:val="0"/>
          <w:numId w:val="5"/>
        </w:numPr>
        <w:spacing w:after="0"/>
        <w:jc w:val="both"/>
        <w:rPr>
          <w:rFonts w:ascii="Book Antiqua" w:hAnsi="Book Antiqua"/>
          <w:i/>
        </w:rPr>
      </w:pPr>
      <w:r w:rsidRPr="00815B0C">
        <w:rPr>
          <w:rFonts w:ascii="Book Antiqua" w:hAnsi="Book Antiqua"/>
          <w:i/>
        </w:rPr>
        <w:t>Premi e sanzioni (</w:t>
      </w:r>
      <w:r w:rsidR="00F54F2A" w:rsidRPr="00815B0C">
        <w:rPr>
          <w:rFonts w:ascii="Book Antiqua" w:hAnsi="Book Antiqua"/>
          <w:i/>
        </w:rPr>
        <w:t xml:space="preserve">in attesa di parere </w:t>
      </w:r>
      <w:r w:rsidRPr="00815B0C">
        <w:rPr>
          <w:rFonts w:ascii="Book Antiqua" w:hAnsi="Book Antiqua"/>
          <w:i/>
        </w:rPr>
        <w:t>in bicamerale</w:t>
      </w:r>
      <w:r w:rsidR="00815B0C">
        <w:rPr>
          <w:rFonts w:ascii="Book Antiqua" w:hAnsi="Book Antiqua"/>
          <w:i/>
        </w:rPr>
        <w:t>)</w:t>
      </w:r>
    </w:p>
    <w:p w:rsidR="00815B0C" w:rsidRDefault="00815B0C" w:rsidP="00A54154">
      <w:pPr>
        <w:jc w:val="both"/>
        <w:rPr>
          <w:rFonts w:ascii="Book Antiqua" w:hAnsi="Book Antiqua"/>
        </w:rPr>
      </w:pPr>
    </w:p>
    <w:p w:rsidR="00A97EDB" w:rsidRPr="00056DBD" w:rsidRDefault="00056DBD" w:rsidP="00A541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Ultimo importante tassello è la p</w:t>
      </w:r>
      <w:r w:rsidR="00F54F2A" w:rsidRPr="00056DBD">
        <w:rPr>
          <w:rFonts w:ascii="Book Antiqua" w:hAnsi="Book Antiqua"/>
        </w:rPr>
        <w:t xml:space="preserve">roroga dei termini </w:t>
      </w:r>
      <w:r>
        <w:rPr>
          <w:rFonts w:ascii="Book Antiqua" w:hAnsi="Book Antiqua"/>
        </w:rPr>
        <w:t xml:space="preserve">per </w:t>
      </w:r>
      <w:r w:rsidR="00F54F2A" w:rsidRPr="00056DBD">
        <w:rPr>
          <w:rFonts w:ascii="Book Antiqua" w:hAnsi="Book Antiqua"/>
        </w:rPr>
        <w:t>l’adozione dei decreti legislativi attuativi dell’art. 2 della leg</w:t>
      </w:r>
      <w:r>
        <w:rPr>
          <w:rFonts w:ascii="Book Antiqua" w:hAnsi="Book Antiqua"/>
        </w:rPr>
        <w:t>ge n.42/09 al 21 novembre 2011, attraverso la legge n. 85/11.</w:t>
      </w:r>
    </w:p>
    <w:p w:rsidR="00815B0C" w:rsidRDefault="00815B0C" w:rsidP="00A54154">
      <w:pPr>
        <w:jc w:val="both"/>
        <w:rPr>
          <w:rFonts w:ascii="Book Antiqua" w:hAnsi="Book Antiqua"/>
        </w:rPr>
      </w:pPr>
    </w:p>
    <w:p w:rsidR="00815B0C" w:rsidRPr="00815B0C" w:rsidRDefault="00815B0C" w:rsidP="00A54154">
      <w:pPr>
        <w:jc w:val="both"/>
        <w:rPr>
          <w:rFonts w:ascii="Book Antiqua" w:hAnsi="Book Antiqua"/>
          <w:b/>
          <w:i/>
        </w:rPr>
      </w:pPr>
      <w:r w:rsidRPr="00815B0C">
        <w:rPr>
          <w:rFonts w:ascii="Book Antiqua" w:hAnsi="Book Antiqua"/>
          <w:b/>
          <w:i/>
        </w:rPr>
        <w:t>CONSIDERAZIONI GENERALI</w:t>
      </w:r>
    </w:p>
    <w:p w:rsidR="00A97EDB" w:rsidRPr="00056DBD" w:rsidRDefault="00E86848" w:rsidP="00A541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La legge delega n.</w:t>
      </w:r>
      <w:r w:rsidR="00A97EDB" w:rsidRPr="00056DBD">
        <w:rPr>
          <w:rFonts w:ascii="Book Antiqua" w:hAnsi="Book Antiqua"/>
        </w:rPr>
        <w:t xml:space="preserve"> 42</w:t>
      </w:r>
      <w:r>
        <w:rPr>
          <w:rFonts w:ascii="Book Antiqua" w:hAnsi="Book Antiqua"/>
        </w:rPr>
        <w:t xml:space="preserve">/09 è stata una legge </w:t>
      </w:r>
      <w:r w:rsidR="00A97EDB" w:rsidRPr="00056DBD">
        <w:rPr>
          <w:rFonts w:ascii="Book Antiqua" w:hAnsi="Book Antiqua"/>
        </w:rPr>
        <w:t>condivisa nella sua impostazione,</w:t>
      </w:r>
      <w:r>
        <w:rPr>
          <w:rFonts w:ascii="Book Antiqua" w:hAnsi="Book Antiqua"/>
        </w:rPr>
        <w:t xml:space="preserve"> ancora valida e coerente con l’art. </w:t>
      </w:r>
      <w:r w:rsidR="00A97EDB" w:rsidRPr="00056DBD">
        <w:rPr>
          <w:rFonts w:ascii="Book Antiqua" w:hAnsi="Book Antiqua"/>
        </w:rPr>
        <w:t xml:space="preserve">119 </w:t>
      </w:r>
      <w:proofErr w:type="spellStart"/>
      <w:r w:rsidR="00A97EDB" w:rsidRPr="00056DBD">
        <w:rPr>
          <w:rFonts w:ascii="Book Antiqua" w:hAnsi="Book Antiqua"/>
        </w:rPr>
        <w:t>Cos</w:t>
      </w:r>
      <w:r w:rsidR="00056DBD"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, poiché istituisce un corretto sistema di  </w:t>
      </w:r>
      <w:r w:rsidR="00A97EDB" w:rsidRPr="00056DBD">
        <w:rPr>
          <w:rFonts w:ascii="Book Antiqua" w:hAnsi="Book Antiqua"/>
        </w:rPr>
        <w:t>azioni di coordinamento del</w:t>
      </w:r>
      <w:r>
        <w:rPr>
          <w:rFonts w:ascii="Book Antiqua" w:hAnsi="Book Antiqua"/>
        </w:rPr>
        <w:t xml:space="preserve">l’intero sistema </w:t>
      </w:r>
      <w:r w:rsidR="00815B0C">
        <w:rPr>
          <w:rFonts w:ascii="Book Antiqua" w:hAnsi="Book Antiqua"/>
        </w:rPr>
        <w:t xml:space="preserve">della finanza pubblica, </w:t>
      </w:r>
      <w:proofErr w:type="spellStart"/>
      <w:r w:rsidR="00815B0C">
        <w:rPr>
          <w:rFonts w:ascii="Book Antiqua" w:hAnsi="Book Antiqua"/>
        </w:rPr>
        <w:t>af</w:t>
      </w:r>
      <w:r>
        <w:rPr>
          <w:rFonts w:ascii="Book Antiqua" w:hAnsi="Book Antiqua"/>
        </w:rPr>
        <w:t>finchè</w:t>
      </w:r>
      <w:proofErr w:type="spellEnd"/>
      <w:r>
        <w:rPr>
          <w:rFonts w:ascii="Book Antiqua" w:hAnsi="Book Antiqua"/>
        </w:rPr>
        <w:t xml:space="preserve"> se ne possano condividere i contenuti e la visione generale, attraverso il passaggio in organismi tecnici come la </w:t>
      </w:r>
      <w:proofErr w:type="spellStart"/>
      <w:r>
        <w:rPr>
          <w:rFonts w:ascii="Book Antiqua" w:hAnsi="Book Antiqua"/>
        </w:rPr>
        <w:t>Copaff</w:t>
      </w:r>
      <w:proofErr w:type="spellEnd"/>
      <w:r>
        <w:rPr>
          <w:rFonts w:ascii="Book Antiqua" w:hAnsi="Book Antiqua"/>
        </w:rPr>
        <w:t>, e politici, come la Commissione bicamerale, oltre alle previste intese in Conferenza Unificata</w:t>
      </w:r>
      <w:r w:rsidR="00815B0C">
        <w:rPr>
          <w:rFonts w:ascii="Book Antiqua" w:hAnsi="Book Antiqua"/>
        </w:rPr>
        <w:t xml:space="preserve">, nonché attraverso l’istituzione della Conferenza Permanente per la finanza pubblica. </w:t>
      </w:r>
    </w:p>
    <w:p w:rsidR="00E86848" w:rsidRPr="00056DBD" w:rsidRDefault="00E86848" w:rsidP="00A54154">
      <w:pPr>
        <w:jc w:val="both"/>
        <w:rPr>
          <w:rFonts w:ascii="Book Antiqua" w:hAnsi="Book Antiqua"/>
        </w:rPr>
      </w:pPr>
      <w:r w:rsidRPr="00056DBD">
        <w:rPr>
          <w:rFonts w:ascii="Book Antiqua" w:hAnsi="Book Antiqua"/>
        </w:rPr>
        <w:t>Occorre rilevare preliminarmente che urgono i tempi per portare a compimento la Carta delle Autonomie</w:t>
      </w:r>
      <w:r>
        <w:rPr>
          <w:rFonts w:ascii="Book Antiqua" w:hAnsi="Book Antiqua"/>
        </w:rPr>
        <w:t>: l’UPI ha sempre sostenuto il percorso attuativo della legge 42/09 non possa essere completamente avulso e disgiunto dal futuro assetto delle autonomie locali.</w:t>
      </w:r>
    </w:p>
    <w:p w:rsidR="00E86848" w:rsidRDefault="00A97EDB" w:rsidP="00A54154">
      <w:pPr>
        <w:jc w:val="both"/>
        <w:rPr>
          <w:rFonts w:ascii="Book Antiqua" w:hAnsi="Book Antiqua"/>
        </w:rPr>
      </w:pPr>
      <w:r w:rsidRPr="00056DBD">
        <w:rPr>
          <w:rFonts w:ascii="Book Antiqua" w:hAnsi="Book Antiqua"/>
        </w:rPr>
        <w:lastRenderedPageBreak/>
        <w:t>A fronte di ciò</w:t>
      </w:r>
      <w:r w:rsidR="00E86848">
        <w:rPr>
          <w:rFonts w:ascii="Book Antiqua" w:hAnsi="Book Antiqua"/>
        </w:rPr>
        <w:t xml:space="preserve"> però </w:t>
      </w:r>
      <w:r w:rsidRPr="00056DBD">
        <w:rPr>
          <w:rFonts w:ascii="Book Antiqua" w:hAnsi="Book Antiqua"/>
        </w:rPr>
        <w:t>la legge 42</w:t>
      </w:r>
      <w:r w:rsidR="00E86848">
        <w:rPr>
          <w:rFonts w:ascii="Book Antiqua" w:hAnsi="Book Antiqua"/>
        </w:rPr>
        <w:t xml:space="preserve">/09 nel corso degli scorsi mesi, </w:t>
      </w:r>
      <w:r w:rsidRPr="00056DBD">
        <w:rPr>
          <w:rFonts w:ascii="Book Antiqua" w:hAnsi="Book Antiqua"/>
        </w:rPr>
        <w:t xml:space="preserve">ha fatto emergere questioni che </w:t>
      </w:r>
      <w:r w:rsidR="00E86848">
        <w:rPr>
          <w:rFonts w:ascii="Book Antiqua" w:hAnsi="Book Antiqua"/>
        </w:rPr>
        <w:t xml:space="preserve">meritano adeguati approfondimenti, poiché si </w:t>
      </w:r>
      <w:proofErr w:type="spellStart"/>
      <w:r w:rsidR="00E86848">
        <w:rPr>
          <w:rFonts w:ascii="Book Antiqua" w:hAnsi="Book Antiqua"/>
        </w:rPr>
        <w:t>interrela</w:t>
      </w:r>
      <w:proofErr w:type="spellEnd"/>
      <w:r w:rsidR="00E86848">
        <w:rPr>
          <w:rFonts w:ascii="Book Antiqua" w:hAnsi="Book Antiqua"/>
        </w:rPr>
        <w:t xml:space="preserve"> in maniera assolutamente stringente con l’attuale contesto finanziario, che sconta innanzitutto un </w:t>
      </w:r>
      <w:r w:rsidRPr="00056DBD">
        <w:rPr>
          <w:rFonts w:ascii="Book Antiqua" w:hAnsi="Book Antiqua"/>
        </w:rPr>
        <w:t xml:space="preserve"> </w:t>
      </w:r>
      <w:r w:rsidR="00815B0C">
        <w:rPr>
          <w:rFonts w:ascii="Book Antiqua" w:hAnsi="Book Antiqua"/>
        </w:rPr>
        <w:t>quadro</w:t>
      </w:r>
      <w:r w:rsidRPr="00056DBD">
        <w:rPr>
          <w:rFonts w:ascii="Book Antiqua" w:hAnsi="Book Antiqua"/>
        </w:rPr>
        <w:t xml:space="preserve"> </w:t>
      </w:r>
      <w:r w:rsidR="00E86848">
        <w:rPr>
          <w:rFonts w:ascii="Book Antiqua" w:hAnsi="Book Antiqua"/>
        </w:rPr>
        <w:t>internazionale e nazionale assai delicato.</w:t>
      </w:r>
    </w:p>
    <w:p w:rsidR="00A97EDB" w:rsidRDefault="00A97EDB" w:rsidP="00A54154">
      <w:pPr>
        <w:jc w:val="both"/>
        <w:rPr>
          <w:rFonts w:ascii="Book Antiqua" w:hAnsi="Book Antiqua"/>
        </w:rPr>
      </w:pPr>
      <w:r w:rsidRPr="00056DBD">
        <w:rPr>
          <w:rFonts w:ascii="Book Antiqua" w:hAnsi="Book Antiqua"/>
        </w:rPr>
        <w:t xml:space="preserve">Il taglio dei trasferimenti </w:t>
      </w:r>
      <w:r w:rsidR="00E86848">
        <w:rPr>
          <w:rFonts w:ascii="Book Antiqua" w:hAnsi="Book Antiqua"/>
        </w:rPr>
        <w:t xml:space="preserve">erariali operato nell’anno 2010 </w:t>
      </w:r>
      <w:r w:rsidR="00815B0C">
        <w:rPr>
          <w:rFonts w:ascii="Book Antiqua" w:hAnsi="Book Antiqua"/>
        </w:rPr>
        <w:t xml:space="preserve">per gli anni 2011-2012 </w:t>
      </w:r>
      <w:r w:rsidR="00E86848">
        <w:rPr>
          <w:rFonts w:ascii="Book Antiqua" w:hAnsi="Book Antiqua"/>
        </w:rPr>
        <w:t>i</w:t>
      </w:r>
      <w:r w:rsidRPr="00056DBD">
        <w:rPr>
          <w:rFonts w:ascii="Book Antiqua" w:hAnsi="Book Antiqua"/>
        </w:rPr>
        <w:t>nficia profondamente l’attuaz</w:t>
      </w:r>
      <w:r w:rsidR="00E86848">
        <w:rPr>
          <w:rFonts w:ascii="Book Antiqua" w:hAnsi="Book Antiqua"/>
        </w:rPr>
        <w:t>i</w:t>
      </w:r>
      <w:r w:rsidRPr="00056DBD">
        <w:rPr>
          <w:rFonts w:ascii="Book Antiqua" w:hAnsi="Book Antiqua"/>
        </w:rPr>
        <w:t>one del federalismo fi</w:t>
      </w:r>
      <w:r w:rsidR="00E86848">
        <w:rPr>
          <w:rFonts w:ascii="Book Antiqua" w:hAnsi="Book Antiqua"/>
        </w:rPr>
        <w:t xml:space="preserve">scale; a ciò va ad aggiungersi la prossima manovra finanziaria che si preannuncia assai pesante e che certamente intaccherà il già delicato quadro finanziario delle regioni e degli enti locali. Si ricorda a tale proposito che la spesa per investimenti delle Province sta già facendo segnare una </w:t>
      </w:r>
      <w:r w:rsidR="003030B1">
        <w:rPr>
          <w:rFonts w:ascii="Book Antiqua" w:hAnsi="Book Antiqua"/>
        </w:rPr>
        <w:t>gravosa contrazione, con tutte le conseguenze che questo comporta sull’economia territoriale e sul sistema imprenditorial</w:t>
      </w:r>
      <w:r w:rsidR="00815B0C">
        <w:rPr>
          <w:rFonts w:ascii="Book Antiqua" w:hAnsi="Book Antiqua"/>
        </w:rPr>
        <w:t>e.</w:t>
      </w:r>
    </w:p>
    <w:p w:rsidR="00815B0C" w:rsidRPr="00056DBD" w:rsidRDefault="00815B0C" w:rsidP="00A541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manovra, che di fatto si è realizzata con tagli lineari, senza provvedere alle necessarie diversificazioni in ordine alle caratteristiche degli enti, dovrà essere oggetti di riflessione con la prossima manovra finanziaria: si dovrà fare in modo che la manovra pesi diversamente secondo adeguati criteri di valutazione delle situazioni: l’UPI ha già indicato alcuni possibili percorsi di riforma del patto di stabilità </w:t>
      </w:r>
      <w:proofErr w:type="spellStart"/>
      <w:r>
        <w:rPr>
          <w:rFonts w:ascii="Book Antiqua" w:hAnsi="Book Antiqua"/>
        </w:rPr>
        <w:t>affinchè</w:t>
      </w:r>
      <w:proofErr w:type="spellEnd"/>
      <w:r>
        <w:rPr>
          <w:rFonts w:ascii="Book Antiqua" w:hAnsi="Book Antiqua"/>
        </w:rPr>
        <w:t xml:space="preserve"> il rigore dei conti pubblici possa efficacemente coniugarsi con la necessaria prospettiva di sviluppo. </w:t>
      </w:r>
    </w:p>
    <w:p w:rsidR="00A97EDB" w:rsidRPr="00056DBD" w:rsidRDefault="003030B1" w:rsidP="00A541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Un ulteriore </w:t>
      </w:r>
      <w:r w:rsidR="00E86848">
        <w:rPr>
          <w:rFonts w:ascii="Book Antiqua" w:hAnsi="Book Antiqua"/>
        </w:rPr>
        <w:t xml:space="preserve">elemento di forte </w:t>
      </w:r>
      <w:r>
        <w:rPr>
          <w:rFonts w:ascii="Book Antiqua" w:hAnsi="Book Antiqua"/>
        </w:rPr>
        <w:t>perplessità</w:t>
      </w:r>
      <w:r w:rsidR="00E86848">
        <w:rPr>
          <w:rFonts w:ascii="Book Antiqua" w:hAnsi="Book Antiqua"/>
        </w:rPr>
        <w:t xml:space="preserve"> appare l’ingente numero di atti secondari di attuazione ad oggi contenuti nei diversi decreti legislativi emanati (oltre 60), che evidentemente rischiano di complicare, in prospettiva, il percorso attuativo</w:t>
      </w:r>
    </w:p>
    <w:p w:rsidR="003030B1" w:rsidRDefault="003030B1" w:rsidP="00A54154">
      <w:pPr>
        <w:jc w:val="both"/>
        <w:rPr>
          <w:rFonts w:ascii="Book Antiqua" w:hAnsi="Book Antiqua"/>
        </w:rPr>
      </w:pPr>
    </w:p>
    <w:p w:rsidR="003030B1" w:rsidRDefault="003030B1">
      <w:pPr>
        <w:rPr>
          <w:rFonts w:ascii="Book Antiqua" w:hAnsi="Book Antiqua"/>
        </w:rPr>
      </w:pPr>
    </w:p>
    <w:p w:rsidR="00A97EDB" w:rsidRPr="00815B0C" w:rsidRDefault="00815B0C">
      <w:pPr>
        <w:rPr>
          <w:rFonts w:ascii="Book Antiqua" w:hAnsi="Book Antiqua"/>
          <w:b/>
          <w:i/>
        </w:rPr>
      </w:pPr>
      <w:r w:rsidRPr="00815B0C">
        <w:rPr>
          <w:rFonts w:ascii="Book Antiqua" w:hAnsi="Book Antiqua"/>
          <w:b/>
          <w:i/>
        </w:rPr>
        <w:t xml:space="preserve">ELEMENTI </w:t>
      </w:r>
      <w:proofErr w:type="spellStart"/>
      <w:r w:rsidRPr="00815B0C">
        <w:rPr>
          <w:rFonts w:ascii="Book Antiqua" w:hAnsi="Book Antiqua"/>
          <w:b/>
          <w:i/>
        </w:rPr>
        <w:t>DI</w:t>
      </w:r>
      <w:proofErr w:type="spellEnd"/>
      <w:r w:rsidRPr="00815B0C">
        <w:rPr>
          <w:rFonts w:ascii="Book Antiqua" w:hAnsi="Book Antiqua"/>
          <w:b/>
          <w:i/>
        </w:rPr>
        <w:t xml:space="preserve"> CRITICITA’</w:t>
      </w:r>
    </w:p>
    <w:p w:rsidR="003030B1" w:rsidRPr="00A54154" w:rsidRDefault="00A97EDB" w:rsidP="00A54154">
      <w:pPr>
        <w:pStyle w:val="Paragrafoelenco"/>
        <w:numPr>
          <w:ilvl w:val="0"/>
          <w:numId w:val="4"/>
        </w:numPr>
        <w:jc w:val="both"/>
        <w:rPr>
          <w:rFonts w:ascii="Book Antiqua" w:hAnsi="Book Antiqua"/>
        </w:rPr>
      </w:pPr>
      <w:r w:rsidRPr="00A54154">
        <w:rPr>
          <w:rFonts w:ascii="Book Antiqua" w:hAnsi="Book Antiqua"/>
          <w:u w:val="single"/>
        </w:rPr>
        <w:t>Tributi ed autonomia tributaria</w:t>
      </w:r>
      <w:r w:rsidR="003030B1" w:rsidRPr="00A54154">
        <w:rPr>
          <w:rFonts w:ascii="Book Antiqua" w:hAnsi="Book Antiqua"/>
        </w:rPr>
        <w:t>: la preannunciata riforma fiscale andrà direttamente ad incidere con il nuovo contesto di riferimento e sui nuovi tributi così come disegnati per regioni, province e comuni. Occorre coordinare tale riforma con quella già in atto a seguito dei decreti legislativ</w:t>
      </w:r>
      <w:r w:rsidR="00C11866" w:rsidRPr="00A54154">
        <w:rPr>
          <w:rFonts w:ascii="Book Antiqua" w:hAnsi="Book Antiqua"/>
        </w:rPr>
        <w:t>i attuativi;</w:t>
      </w:r>
    </w:p>
    <w:p w:rsidR="00C11866" w:rsidRPr="00815B0C" w:rsidRDefault="003030B1" w:rsidP="00A54154">
      <w:pPr>
        <w:pStyle w:val="Paragrafoelenco"/>
        <w:numPr>
          <w:ilvl w:val="0"/>
          <w:numId w:val="4"/>
        </w:numPr>
        <w:jc w:val="both"/>
        <w:rPr>
          <w:rFonts w:ascii="Book Antiqua" w:hAnsi="Book Antiqua"/>
        </w:rPr>
      </w:pPr>
      <w:r w:rsidRPr="00815B0C">
        <w:rPr>
          <w:rFonts w:ascii="Book Antiqua" w:hAnsi="Book Antiqua"/>
          <w:u w:val="single"/>
        </w:rPr>
        <w:t>Coordinamento dei sistemi tributari</w:t>
      </w:r>
      <w:r w:rsidRPr="00815B0C">
        <w:rPr>
          <w:rFonts w:ascii="Book Antiqua" w:hAnsi="Book Antiqua"/>
        </w:rPr>
        <w:t xml:space="preserve">: </w:t>
      </w:r>
      <w:r w:rsidR="00A97EDB" w:rsidRPr="00815B0C">
        <w:rPr>
          <w:rFonts w:ascii="Book Antiqua" w:hAnsi="Book Antiqua"/>
        </w:rPr>
        <w:t xml:space="preserve">occorre coordinare il federalismo municipale con quello provinciale </w:t>
      </w:r>
      <w:r w:rsidRPr="00815B0C">
        <w:rPr>
          <w:rFonts w:ascii="Book Antiqua" w:hAnsi="Book Antiqua"/>
        </w:rPr>
        <w:t>ed in particolare il fondo di riequilibrio ed rapporto tra questo ed il fondo pe</w:t>
      </w:r>
      <w:r w:rsidR="00C11866" w:rsidRPr="00815B0C">
        <w:rPr>
          <w:rFonts w:ascii="Book Antiqua" w:hAnsi="Book Antiqua"/>
        </w:rPr>
        <w:t>requativo per Comuni e Province;</w:t>
      </w:r>
      <w:r w:rsidR="00815B0C" w:rsidRPr="00815B0C">
        <w:rPr>
          <w:rFonts w:ascii="Book Antiqua" w:hAnsi="Book Antiqua"/>
        </w:rPr>
        <w:t xml:space="preserve"> allo stesso tempo, alla</w:t>
      </w:r>
      <w:r w:rsidR="00C11866" w:rsidRPr="00815B0C">
        <w:rPr>
          <w:rFonts w:ascii="Book Antiqua" w:hAnsi="Book Antiqua"/>
        </w:rPr>
        <w:t xml:space="preserve"> stregua di quanto concesso alle Regioni per quanto in particolare concerne la copertura dei costi del TPL, occorre che </w:t>
      </w:r>
      <w:r w:rsidR="00E14C2B">
        <w:rPr>
          <w:rFonts w:ascii="Book Antiqua" w:hAnsi="Book Antiqua"/>
        </w:rPr>
        <w:t xml:space="preserve">individuare una </w:t>
      </w:r>
      <w:r w:rsidR="00C11866" w:rsidRPr="00815B0C">
        <w:rPr>
          <w:rFonts w:ascii="Book Antiqua" w:hAnsi="Book Antiqua"/>
          <w:u w:val="single"/>
        </w:rPr>
        <w:t xml:space="preserve">norma di garanzia </w:t>
      </w:r>
      <w:r w:rsidR="00C11866" w:rsidRPr="00E14C2B">
        <w:rPr>
          <w:rFonts w:ascii="Book Antiqua" w:hAnsi="Book Antiqua"/>
        </w:rPr>
        <w:t>degli effetti dei tagli dei trasferimenti</w:t>
      </w:r>
      <w:r w:rsidR="00E14C2B">
        <w:rPr>
          <w:rFonts w:ascii="Book Antiqua" w:hAnsi="Book Antiqua"/>
        </w:rPr>
        <w:t xml:space="preserve"> per comuni e province</w:t>
      </w:r>
      <w:r w:rsidR="00C11866" w:rsidRPr="00815B0C">
        <w:rPr>
          <w:rFonts w:ascii="Book Antiqua" w:hAnsi="Book Antiqua"/>
        </w:rPr>
        <w:t xml:space="preserve">; </w:t>
      </w:r>
    </w:p>
    <w:p w:rsidR="00A97EDB" w:rsidRPr="00056DBD" w:rsidRDefault="00C11866" w:rsidP="00A54154">
      <w:pPr>
        <w:pStyle w:val="Paragrafoelenco"/>
        <w:numPr>
          <w:ilvl w:val="0"/>
          <w:numId w:val="4"/>
        </w:numPr>
        <w:jc w:val="both"/>
        <w:rPr>
          <w:rFonts w:ascii="Book Antiqua" w:hAnsi="Book Antiqua"/>
        </w:rPr>
      </w:pPr>
      <w:r w:rsidRPr="00C11866">
        <w:rPr>
          <w:rFonts w:ascii="Book Antiqua" w:hAnsi="Book Antiqua"/>
          <w:u w:val="single"/>
        </w:rPr>
        <w:t>Il federalismo demaniale</w:t>
      </w:r>
      <w:r>
        <w:rPr>
          <w:rFonts w:ascii="Book Antiqua" w:hAnsi="Book Antiqua"/>
        </w:rPr>
        <w:t>, nei suoi primi decreti attuativi, rischia di alimentare confusione ed indeterminatezza in ordine ai</w:t>
      </w:r>
      <w:r w:rsidR="00A97EDB" w:rsidRPr="00056DBD">
        <w:rPr>
          <w:rFonts w:ascii="Book Antiqua" w:hAnsi="Book Antiqua"/>
        </w:rPr>
        <w:t xml:space="preserve"> beni trasferibili e gli oneri ad essi connes</w:t>
      </w:r>
      <w:r>
        <w:rPr>
          <w:rFonts w:ascii="Book Antiqua" w:hAnsi="Book Antiqua"/>
        </w:rPr>
        <w:t>s</w:t>
      </w:r>
      <w:r w:rsidR="00A97EDB" w:rsidRPr="00056DBD">
        <w:rPr>
          <w:rFonts w:ascii="Book Antiqua" w:hAnsi="Book Antiqua"/>
        </w:rPr>
        <w:t>i</w:t>
      </w:r>
      <w:r>
        <w:rPr>
          <w:rFonts w:ascii="Book Antiqua" w:hAnsi="Book Antiqua"/>
        </w:rPr>
        <w:t>;</w:t>
      </w:r>
    </w:p>
    <w:p w:rsidR="00C11866" w:rsidRDefault="00C11866" w:rsidP="00A54154">
      <w:pPr>
        <w:pStyle w:val="Paragrafoelenco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Per quanto in particolare concerne i </w:t>
      </w:r>
      <w:r w:rsidRPr="00C11866">
        <w:rPr>
          <w:rFonts w:ascii="Book Antiqua" w:hAnsi="Book Antiqua"/>
          <w:u w:val="single"/>
        </w:rPr>
        <w:t>fabbisogni standard</w:t>
      </w:r>
      <w:r>
        <w:rPr>
          <w:rFonts w:ascii="Book Antiqua" w:hAnsi="Book Antiqua"/>
        </w:rPr>
        <w:t>, nel ribadire che questi rappresenteranno un elemento imprescindibile per avviare un percorso</w:t>
      </w:r>
      <w:r w:rsidR="00E14C2B">
        <w:rPr>
          <w:rFonts w:ascii="Book Antiqua" w:hAnsi="Book Antiqua"/>
        </w:rPr>
        <w:t xml:space="preserve"> di superamento della spesa storica e </w:t>
      </w:r>
      <w:r>
        <w:rPr>
          <w:rFonts w:ascii="Book Antiqua" w:hAnsi="Book Antiqua"/>
        </w:rPr>
        <w:t xml:space="preserve">di </w:t>
      </w:r>
      <w:proofErr w:type="spellStart"/>
      <w:r>
        <w:rPr>
          <w:rFonts w:ascii="Book Antiqua" w:hAnsi="Book Antiqua"/>
        </w:rPr>
        <w:t>efficientamento</w:t>
      </w:r>
      <w:proofErr w:type="spellEnd"/>
      <w:r>
        <w:rPr>
          <w:rFonts w:ascii="Book Antiqua" w:hAnsi="Book Antiqua"/>
        </w:rPr>
        <w:t xml:space="preserve"> del sistema pubblico, occorre che vi sia maggiore chiarezza su</w:t>
      </w:r>
      <w:r w:rsidR="00E14C2B">
        <w:rPr>
          <w:rFonts w:ascii="Book Antiqua" w:hAnsi="Book Antiqua"/>
        </w:rPr>
        <w:t>i dati raccolti e sulla</w:t>
      </w:r>
      <w:r>
        <w:rPr>
          <w:rFonts w:ascii="Book Antiqua" w:hAnsi="Book Antiqua"/>
        </w:rPr>
        <w:t xml:space="preserve"> metodologia che, a seguito delle rilevazioni, porterà alla loro definitiva individuazione. </w:t>
      </w:r>
    </w:p>
    <w:p w:rsidR="00C11866" w:rsidRDefault="00C11866" w:rsidP="00A54154">
      <w:pPr>
        <w:pStyle w:val="Paragrafoelenco"/>
        <w:numPr>
          <w:ilvl w:val="0"/>
          <w:numId w:val="4"/>
        </w:numPr>
        <w:jc w:val="both"/>
        <w:rPr>
          <w:rFonts w:ascii="Book Antiqua" w:hAnsi="Book Antiqua"/>
        </w:rPr>
      </w:pPr>
      <w:r w:rsidRPr="00C11866">
        <w:rPr>
          <w:rFonts w:ascii="Book Antiqua" w:hAnsi="Book Antiqua"/>
        </w:rPr>
        <w:lastRenderedPageBreak/>
        <w:t xml:space="preserve">L’esclusione dell’applicazione diretta dei decreti legislativi attuativi della legge n. 42/09 nelle regioni a statuto speciale, sta progressivamente facendo emergere una crescente perplessità sulla validità di tale modello: si rischia di avere una molteplicità di sistemi finanziari e tributari non coerenti con l’assetto istituzionale del nostro Paese, col rischio di inficiare un corretto avvio del federalismo fiscale. </w:t>
      </w:r>
    </w:p>
    <w:p w:rsidR="00E14C2B" w:rsidRDefault="00E14C2B" w:rsidP="00E14C2B">
      <w:pPr>
        <w:jc w:val="both"/>
        <w:rPr>
          <w:rFonts w:ascii="Book Antiqua" w:hAnsi="Book Antiqua"/>
        </w:rPr>
      </w:pPr>
    </w:p>
    <w:p w:rsidR="00E14C2B" w:rsidRPr="00E14C2B" w:rsidRDefault="00E14C2B" w:rsidP="00E14C2B">
      <w:pPr>
        <w:jc w:val="both"/>
        <w:rPr>
          <w:rFonts w:ascii="Book Antiqua" w:hAnsi="Book Antiqua"/>
          <w:b/>
          <w:i/>
        </w:rPr>
      </w:pPr>
      <w:r w:rsidRPr="00E14C2B">
        <w:rPr>
          <w:rFonts w:ascii="Book Antiqua" w:hAnsi="Book Antiqua"/>
          <w:b/>
          <w:i/>
        </w:rPr>
        <w:t xml:space="preserve">PROPOSTA </w:t>
      </w:r>
    </w:p>
    <w:p w:rsidR="00A97EDB" w:rsidRPr="00E14C2B" w:rsidRDefault="00C11866" w:rsidP="00E14C2B">
      <w:pPr>
        <w:jc w:val="both"/>
        <w:rPr>
          <w:rFonts w:ascii="Book Antiqua" w:hAnsi="Book Antiqua"/>
        </w:rPr>
      </w:pPr>
      <w:r w:rsidRPr="00E14C2B">
        <w:rPr>
          <w:rFonts w:ascii="Book Antiqua" w:hAnsi="Book Antiqua"/>
        </w:rPr>
        <w:t>Occorre procedere speditamente alla istituzione della Con</w:t>
      </w:r>
      <w:r w:rsidR="00A97EDB" w:rsidRPr="00E14C2B">
        <w:rPr>
          <w:rFonts w:ascii="Book Antiqua" w:hAnsi="Book Antiqua"/>
        </w:rPr>
        <w:t xml:space="preserve">ferenza permanente </w:t>
      </w:r>
      <w:r w:rsidRPr="00E14C2B">
        <w:rPr>
          <w:rFonts w:ascii="Book Antiqua" w:hAnsi="Book Antiqua"/>
        </w:rPr>
        <w:t>per la finanza pubblica</w:t>
      </w:r>
      <w:r w:rsidR="00E14C2B">
        <w:rPr>
          <w:rFonts w:ascii="Book Antiqua" w:hAnsi="Book Antiqua"/>
        </w:rPr>
        <w:t xml:space="preserve">. Ai sensi di quanto previsto dall’art. 5 della legge n.42/09 e di quanto statuito dall’art. 33 del </w:t>
      </w:r>
      <w:proofErr w:type="spellStart"/>
      <w:r w:rsidR="00E14C2B">
        <w:rPr>
          <w:rFonts w:ascii="Book Antiqua" w:hAnsi="Book Antiqua"/>
        </w:rPr>
        <w:t>dlgs</w:t>
      </w:r>
      <w:proofErr w:type="spellEnd"/>
      <w:r w:rsidR="00E14C2B">
        <w:rPr>
          <w:rFonts w:ascii="Book Antiqua" w:hAnsi="Book Antiqua"/>
        </w:rPr>
        <w:t xml:space="preserve"> 68/11, la Conferenza si dovrà configurare quale organismo stabile di coordinamento della finanza pubblica per tutti i livelli di governo. Proprio nell’approssimarsi di una nuova ed importante manovra finanziaria, occorre stringere i tempi per la sua istituzione, poiché sarà in quella sede che si dovranno approfondire nel merito il riparto gli obiettivi di finanza pubblica per sottosettore istituzionale</w:t>
      </w:r>
      <w:r w:rsidRPr="00E14C2B">
        <w:rPr>
          <w:rFonts w:ascii="Book Antiqua" w:hAnsi="Book Antiqua"/>
        </w:rPr>
        <w:t>,</w:t>
      </w:r>
      <w:r w:rsidR="00E14C2B">
        <w:rPr>
          <w:rFonts w:ascii="Book Antiqua" w:hAnsi="Book Antiqua"/>
        </w:rPr>
        <w:t xml:space="preserve"> e dunque si configura quale sede istituzionale fondamentale per garantire un equilibrato e coerente contributo al risanamento della finanza pubblica</w:t>
      </w:r>
      <w:r w:rsidRPr="00E14C2B">
        <w:rPr>
          <w:rFonts w:ascii="Book Antiqua" w:hAnsi="Book Antiqua"/>
        </w:rPr>
        <w:t>.</w:t>
      </w:r>
    </w:p>
    <w:sectPr w:rsidR="00A97EDB" w:rsidRPr="00E14C2B" w:rsidSect="00631E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4333B"/>
    <w:multiLevelType w:val="hybridMultilevel"/>
    <w:tmpl w:val="427E3792"/>
    <w:lvl w:ilvl="0" w:tplc="AC3E7490">
      <w:start w:val="1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F76"/>
    <w:multiLevelType w:val="hybridMultilevel"/>
    <w:tmpl w:val="19D427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56B23"/>
    <w:multiLevelType w:val="hybridMultilevel"/>
    <w:tmpl w:val="EC842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5066E"/>
    <w:multiLevelType w:val="hybridMultilevel"/>
    <w:tmpl w:val="D42414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1E3A11"/>
    <w:multiLevelType w:val="hybridMultilevel"/>
    <w:tmpl w:val="958E0FB2"/>
    <w:lvl w:ilvl="0" w:tplc="D1901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7EDB"/>
    <w:rsid w:val="00056DBD"/>
    <w:rsid w:val="0028367A"/>
    <w:rsid w:val="003030B1"/>
    <w:rsid w:val="00631E50"/>
    <w:rsid w:val="00815B0C"/>
    <w:rsid w:val="00873738"/>
    <w:rsid w:val="00A54154"/>
    <w:rsid w:val="00A97EDB"/>
    <w:rsid w:val="00C11866"/>
    <w:rsid w:val="00E14C2B"/>
    <w:rsid w:val="00E86848"/>
    <w:rsid w:val="00E87D5D"/>
    <w:rsid w:val="00F306C2"/>
    <w:rsid w:val="00F5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E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2011-06-23T07:48:00Z</cp:lastPrinted>
  <dcterms:created xsi:type="dcterms:W3CDTF">2011-06-22T06:35:00Z</dcterms:created>
  <dcterms:modified xsi:type="dcterms:W3CDTF">2011-06-23T09:16:00Z</dcterms:modified>
</cp:coreProperties>
</file>