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15" w:rsidRDefault="00E34315">
      <w:pPr>
        <w:rPr>
          <w:rFonts w:ascii="Arial" w:hAnsi="Arial" w:cs="Arial"/>
          <w:sz w:val="24"/>
          <w:szCs w:val="24"/>
        </w:rPr>
      </w:pPr>
      <w:bookmarkStart w:id="0" w:name="_GoBack"/>
      <w:bookmarkEnd w:id="0"/>
    </w:p>
    <w:p w:rsidR="00E34315" w:rsidRDefault="00E34315" w:rsidP="009C0930">
      <w:pPr>
        <w:jc w:val="center"/>
        <w:rPr>
          <w:rFonts w:ascii="Arial" w:hAnsi="Arial" w:cs="Arial"/>
          <w:sz w:val="24"/>
          <w:szCs w:val="24"/>
        </w:rPr>
      </w:pPr>
      <w:r w:rsidRPr="00B751CA">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i1025" type="#_x0000_t75" alt="UPI_completo.bmp" style="width:130.5pt;height:107.25pt;visibility:visible">
            <v:imagedata r:id="rId7" o:title=""/>
          </v:shape>
        </w:pict>
      </w:r>
    </w:p>
    <w:p w:rsidR="00E34315" w:rsidRDefault="00E34315" w:rsidP="008418E9">
      <w:pPr>
        <w:spacing w:line="240" w:lineRule="auto"/>
        <w:jc w:val="center"/>
        <w:rPr>
          <w:rFonts w:ascii="Arial" w:hAnsi="Arial" w:cs="Arial"/>
          <w:b/>
          <w:sz w:val="28"/>
          <w:szCs w:val="28"/>
        </w:rPr>
      </w:pPr>
    </w:p>
    <w:p w:rsidR="00E34315" w:rsidRDefault="00E34315" w:rsidP="008418E9">
      <w:pPr>
        <w:spacing w:line="240" w:lineRule="auto"/>
        <w:jc w:val="center"/>
        <w:rPr>
          <w:rFonts w:ascii="Arial" w:hAnsi="Arial" w:cs="Arial"/>
          <w:b/>
          <w:sz w:val="28"/>
          <w:szCs w:val="28"/>
        </w:rPr>
      </w:pPr>
    </w:p>
    <w:p w:rsidR="00E34315" w:rsidRDefault="00E34315" w:rsidP="008418E9">
      <w:pPr>
        <w:spacing w:line="240" w:lineRule="auto"/>
        <w:jc w:val="center"/>
        <w:rPr>
          <w:rFonts w:ascii="Arial" w:hAnsi="Arial" w:cs="Arial"/>
          <w:b/>
          <w:sz w:val="28"/>
          <w:szCs w:val="28"/>
        </w:rPr>
      </w:pPr>
    </w:p>
    <w:p w:rsidR="00E34315" w:rsidRDefault="00E34315" w:rsidP="008418E9">
      <w:pPr>
        <w:spacing w:line="240" w:lineRule="auto"/>
        <w:jc w:val="center"/>
        <w:rPr>
          <w:rFonts w:ascii="Arial" w:hAnsi="Arial" w:cs="Arial"/>
          <w:b/>
          <w:sz w:val="28"/>
          <w:szCs w:val="28"/>
        </w:rPr>
      </w:pPr>
    </w:p>
    <w:p w:rsidR="00E34315" w:rsidRPr="00824692" w:rsidRDefault="00E34315" w:rsidP="008418E9">
      <w:pPr>
        <w:spacing w:after="0" w:line="240" w:lineRule="auto"/>
        <w:jc w:val="center"/>
        <w:rPr>
          <w:rFonts w:ascii="Arial" w:hAnsi="Arial" w:cs="Arial"/>
          <w:b/>
          <w:i/>
          <w:sz w:val="28"/>
          <w:szCs w:val="28"/>
        </w:rPr>
      </w:pPr>
      <w:r w:rsidRPr="00824692">
        <w:rPr>
          <w:rFonts w:ascii="Arial" w:hAnsi="Arial" w:cs="Arial"/>
          <w:b/>
          <w:i/>
          <w:sz w:val="28"/>
          <w:szCs w:val="28"/>
        </w:rPr>
        <w:t>DOCUMENTO</w:t>
      </w:r>
    </w:p>
    <w:p w:rsidR="00E34315" w:rsidRPr="00824692" w:rsidRDefault="00E34315" w:rsidP="008418E9">
      <w:pPr>
        <w:spacing w:after="0" w:line="240" w:lineRule="auto"/>
        <w:jc w:val="center"/>
        <w:rPr>
          <w:rFonts w:ascii="Arial" w:hAnsi="Arial" w:cs="Arial"/>
          <w:b/>
          <w:i/>
          <w:sz w:val="28"/>
          <w:szCs w:val="28"/>
        </w:rPr>
      </w:pPr>
    </w:p>
    <w:p w:rsidR="00E34315" w:rsidRPr="00824692" w:rsidRDefault="00E34315" w:rsidP="008418E9">
      <w:pPr>
        <w:spacing w:after="0" w:line="240" w:lineRule="auto"/>
        <w:jc w:val="center"/>
        <w:rPr>
          <w:rFonts w:ascii="Arial" w:hAnsi="Arial" w:cs="Arial"/>
          <w:b/>
          <w:i/>
          <w:sz w:val="28"/>
          <w:szCs w:val="28"/>
        </w:rPr>
      </w:pPr>
      <w:r w:rsidRPr="00824692">
        <w:rPr>
          <w:rFonts w:ascii="Arial" w:hAnsi="Arial" w:cs="Arial"/>
          <w:b/>
          <w:i/>
          <w:sz w:val="28"/>
          <w:szCs w:val="28"/>
        </w:rPr>
        <w:t xml:space="preserve">su </w:t>
      </w:r>
    </w:p>
    <w:p w:rsidR="00E34315" w:rsidRPr="00824692" w:rsidRDefault="00E34315" w:rsidP="008418E9">
      <w:pPr>
        <w:spacing w:after="0" w:line="240" w:lineRule="auto"/>
        <w:jc w:val="center"/>
        <w:rPr>
          <w:rFonts w:ascii="Arial" w:hAnsi="Arial" w:cs="Arial"/>
          <w:b/>
          <w:i/>
          <w:sz w:val="28"/>
          <w:szCs w:val="28"/>
        </w:rPr>
      </w:pPr>
    </w:p>
    <w:p w:rsidR="00E34315" w:rsidRPr="00F30D20" w:rsidRDefault="00E34315" w:rsidP="008418E9">
      <w:pPr>
        <w:spacing w:after="0" w:line="240" w:lineRule="auto"/>
        <w:jc w:val="center"/>
        <w:rPr>
          <w:rFonts w:ascii="Arial" w:hAnsi="Arial" w:cs="Arial"/>
          <w:b/>
          <w:sz w:val="28"/>
          <w:szCs w:val="28"/>
        </w:rPr>
      </w:pPr>
      <w:r>
        <w:rPr>
          <w:rFonts w:ascii="Arial" w:hAnsi="Arial" w:cs="Arial"/>
          <w:b/>
          <w:sz w:val="28"/>
          <w:szCs w:val="28"/>
        </w:rPr>
        <w:t>ACCORPAMENTO PROVINCE, FUNZIONI DI AREA VASTA, CITTA’ METROPOLITANE, ENTI INTERMEDI E UFFICI STATALI PERIFERICI</w:t>
      </w:r>
    </w:p>
    <w:p w:rsidR="00E34315" w:rsidRDefault="00E34315">
      <w:pPr>
        <w:rPr>
          <w:rFonts w:ascii="Arial" w:hAnsi="Arial" w:cs="Arial"/>
          <w:sz w:val="24"/>
          <w:szCs w:val="24"/>
        </w:rPr>
      </w:pPr>
    </w:p>
    <w:p w:rsidR="00E34315" w:rsidRDefault="00E34315">
      <w:pPr>
        <w:rPr>
          <w:rFonts w:ascii="Arial" w:hAnsi="Arial" w:cs="Arial"/>
          <w:sz w:val="24"/>
          <w:szCs w:val="24"/>
        </w:rPr>
      </w:pPr>
    </w:p>
    <w:p w:rsidR="00E34315" w:rsidRDefault="00E34315">
      <w:pPr>
        <w:rPr>
          <w:rFonts w:ascii="Arial" w:hAnsi="Arial" w:cs="Arial"/>
          <w:sz w:val="24"/>
          <w:szCs w:val="24"/>
        </w:rPr>
      </w:pPr>
    </w:p>
    <w:p w:rsidR="00E34315" w:rsidRDefault="00E34315">
      <w:pPr>
        <w:rPr>
          <w:rFonts w:ascii="Arial" w:hAnsi="Arial" w:cs="Arial"/>
          <w:sz w:val="24"/>
          <w:szCs w:val="24"/>
        </w:rPr>
      </w:pPr>
    </w:p>
    <w:p w:rsidR="00E34315" w:rsidRDefault="00E34315">
      <w:pPr>
        <w:rPr>
          <w:rFonts w:ascii="Arial" w:hAnsi="Arial" w:cs="Arial"/>
          <w:sz w:val="24"/>
          <w:szCs w:val="24"/>
        </w:rPr>
      </w:pPr>
    </w:p>
    <w:p w:rsidR="00E34315" w:rsidRDefault="00E34315">
      <w:pPr>
        <w:rPr>
          <w:rFonts w:ascii="Arial" w:hAnsi="Arial" w:cs="Arial"/>
          <w:sz w:val="24"/>
          <w:szCs w:val="24"/>
        </w:rPr>
      </w:pPr>
    </w:p>
    <w:p w:rsidR="00E34315" w:rsidRDefault="00E34315">
      <w:pPr>
        <w:rPr>
          <w:rFonts w:ascii="Arial" w:hAnsi="Arial" w:cs="Arial"/>
          <w:sz w:val="24"/>
          <w:szCs w:val="24"/>
        </w:rPr>
      </w:pPr>
    </w:p>
    <w:p w:rsidR="00E34315" w:rsidRDefault="00E34315">
      <w:pPr>
        <w:rPr>
          <w:rFonts w:ascii="Arial" w:hAnsi="Arial" w:cs="Arial"/>
          <w:sz w:val="24"/>
          <w:szCs w:val="24"/>
        </w:rPr>
      </w:pPr>
    </w:p>
    <w:p w:rsidR="00E34315" w:rsidRDefault="00E34315">
      <w:pPr>
        <w:rPr>
          <w:rFonts w:ascii="Arial" w:hAnsi="Arial" w:cs="Arial"/>
          <w:sz w:val="24"/>
          <w:szCs w:val="24"/>
        </w:rPr>
      </w:pPr>
    </w:p>
    <w:p w:rsidR="00E34315" w:rsidRDefault="00E34315">
      <w:pPr>
        <w:rPr>
          <w:rFonts w:ascii="Arial" w:hAnsi="Arial" w:cs="Arial"/>
          <w:sz w:val="24"/>
          <w:szCs w:val="24"/>
        </w:rPr>
      </w:pPr>
    </w:p>
    <w:p w:rsidR="00E34315" w:rsidRDefault="00E34315">
      <w:pPr>
        <w:rPr>
          <w:rFonts w:ascii="Arial" w:hAnsi="Arial" w:cs="Arial"/>
          <w:sz w:val="24"/>
          <w:szCs w:val="24"/>
        </w:rPr>
      </w:pPr>
    </w:p>
    <w:p w:rsidR="00E34315" w:rsidRDefault="00E34315">
      <w:pPr>
        <w:rPr>
          <w:rFonts w:ascii="Arial" w:hAnsi="Arial" w:cs="Arial"/>
          <w:sz w:val="24"/>
          <w:szCs w:val="24"/>
        </w:rPr>
      </w:pPr>
    </w:p>
    <w:p w:rsidR="00E34315" w:rsidRDefault="00E34315" w:rsidP="00824692">
      <w:pPr>
        <w:jc w:val="center"/>
        <w:rPr>
          <w:rFonts w:ascii="Arial" w:hAnsi="Arial" w:cs="Arial"/>
          <w:b/>
          <w:i/>
          <w:sz w:val="28"/>
          <w:szCs w:val="28"/>
        </w:rPr>
      </w:pPr>
      <w:r w:rsidRPr="00824692">
        <w:rPr>
          <w:rFonts w:ascii="Arial" w:hAnsi="Arial" w:cs="Arial"/>
          <w:b/>
          <w:i/>
          <w:sz w:val="28"/>
          <w:szCs w:val="28"/>
        </w:rPr>
        <w:t>Roma, 1</w:t>
      </w:r>
      <w:r>
        <w:rPr>
          <w:rFonts w:ascii="Arial" w:hAnsi="Arial" w:cs="Arial"/>
          <w:b/>
          <w:i/>
          <w:sz w:val="28"/>
          <w:szCs w:val="28"/>
        </w:rPr>
        <w:t>6</w:t>
      </w:r>
      <w:r w:rsidRPr="00824692">
        <w:rPr>
          <w:rFonts w:ascii="Arial" w:hAnsi="Arial" w:cs="Arial"/>
          <w:b/>
          <w:i/>
          <w:sz w:val="28"/>
          <w:szCs w:val="28"/>
        </w:rPr>
        <w:t xml:space="preserve"> luglio 2012</w:t>
      </w:r>
    </w:p>
    <w:p w:rsidR="00E34315" w:rsidRPr="00824692" w:rsidRDefault="00E34315" w:rsidP="00824692">
      <w:pPr>
        <w:jc w:val="center"/>
        <w:rPr>
          <w:rFonts w:ascii="Arial" w:hAnsi="Arial" w:cs="Arial"/>
          <w:b/>
          <w:i/>
          <w:sz w:val="28"/>
          <w:szCs w:val="28"/>
        </w:rPr>
      </w:pPr>
    </w:p>
    <w:p w:rsidR="00E34315" w:rsidRPr="00824692" w:rsidRDefault="00E34315" w:rsidP="00824692">
      <w:pPr>
        <w:ind w:left="360"/>
        <w:jc w:val="both"/>
        <w:rPr>
          <w:rFonts w:ascii="Arial" w:hAnsi="Arial" w:cs="Arial"/>
          <w:b/>
          <w:sz w:val="24"/>
          <w:szCs w:val="24"/>
          <w:u w:val="single"/>
        </w:rPr>
      </w:pPr>
      <w:r w:rsidRPr="00824692">
        <w:rPr>
          <w:rFonts w:ascii="Arial" w:hAnsi="Arial" w:cs="Arial"/>
          <w:b/>
          <w:sz w:val="24"/>
          <w:szCs w:val="24"/>
          <w:u w:val="single"/>
        </w:rPr>
        <w:t>Premessa</w:t>
      </w:r>
    </w:p>
    <w:p w:rsidR="00E34315" w:rsidRDefault="00E34315" w:rsidP="00FC1231">
      <w:pPr>
        <w:jc w:val="both"/>
        <w:rPr>
          <w:rFonts w:ascii="Arial" w:hAnsi="Arial" w:cs="Arial"/>
          <w:sz w:val="24"/>
          <w:szCs w:val="24"/>
        </w:rPr>
      </w:pPr>
      <w:r>
        <w:rPr>
          <w:rFonts w:ascii="Arial" w:hAnsi="Arial" w:cs="Arial"/>
          <w:sz w:val="24"/>
          <w:szCs w:val="24"/>
        </w:rPr>
        <w:t>Le norme del DL 95/2012 approvato dal Consiglio dei Ministri ed ora all’attenzione del Senato ( AS 3396) contengono numerosi interventi di carattere ordinamentale sul sistema degli enti locali. In particolare intervengono ad operare una riorganizzazione delle Province, attraverso il loro accorpamento, la ridefinizione delle funzioni di area vasta e l’istituzione delle Città metropolitane ed un riordino complessivo degli enti intermedi e degli uffici statali periferici.</w:t>
      </w:r>
    </w:p>
    <w:p w:rsidR="00E34315" w:rsidRDefault="00E34315" w:rsidP="00FC1231">
      <w:pPr>
        <w:jc w:val="both"/>
        <w:rPr>
          <w:rFonts w:ascii="Arial" w:hAnsi="Arial" w:cs="Arial"/>
          <w:sz w:val="24"/>
          <w:szCs w:val="24"/>
        </w:rPr>
      </w:pPr>
      <w:r>
        <w:rPr>
          <w:rFonts w:ascii="Arial" w:hAnsi="Arial" w:cs="Arial"/>
          <w:sz w:val="24"/>
          <w:szCs w:val="24"/>
        </w:rPr>
        <w:t>L’Unione delle Province d’Italia da tempo ha elaborato una proposta di delega al Governo per il riordino delle Province e delle istituzioni di area vasta alternativa al percorso di svuotamento delle Province che è stato scelto nell’articolo 23, commi 14 – 21, del decreto 201/11.</w:t>
      </w:r>
    </w:p>
    <w:p w:rsidR="00E34315" w:rsidRDefault="00E34315" w:rsidP="00FC1231">
      <w:pPr>
        <w:jc w:val="both"/>
        <w:rPr>
          <w:rFonts w:ascii="Arial" w:hAnsi="Arial" w:cs="Arial"/>
          <w:sz w:val="24"/>
          <w:szCs w:val="24"/>
        </w:rPr>
      </w:pPr>
      <w:r>
        <w:rPr>
          <w:rFonts w:ascii="Arial" w:hAnsi="Arial" w:cs="Arial"/>
          <w:sz w:val="24"/>
          <w:szCs w:val="24"/>
        </w:rPr>
        <w:t>Questa  proposta, per essere credibile e sostenibile, deve partire dai territori e dalla volontà di individuare un percorso condiviso di riordino complessivo della pubblica amministrazione che comporti risparmi strutturali nel tempo e non scelte imposte dall’alto che seguono invece la logica dei tagli lineari.</w:t>
      </w:r>
    </w:p>
    <w:p w:rsidR="00E34315" w:rsidRDefault="00E34315" w:rsidP="00FC1231">
      <w:pPr>
        <w:jc w:val="both"/>
        <w:rPr>
          <w:rFonts w:ascii="Arial" w:hAnsi="Arial" w:cs="Arial"/>
          <w:sz w:val="24"/>
          <w:szCs w:val="24"/>
        </w:rPr>
      </w:pPr>
    </w:p>
    <w:p w:rsidR="00E34315" w:rsidRPr="002B0B0F" w:rsidRDefault="00E34315" w:rsidP="00B141B1">
      <w:pPr>
        <w:pStyle w:val="ListParagraph"/>
        <w:numPr>
          <w:ilvl w:val="0"/>
          <w:numId w:val="2"/>
        </w:numPr>
        <w:rPr>
          <w:rFonts w:ascii="Arial" w:hAnsi="Arial" w:cs="Arial"/>
          <w:b/>
          <w:sz w:val="24"/>
          <w:szCs w:val="24"/>
          <w:u w:val="single"/>
        </w:rPr>
      </w:pPr>
      <w:r w:rsidRPr="002B0B0F">
        <w:rPr>
          <w:rFonts w:ascii="Arial" w:hAnsi="Arial" w:cs="Arial"/>
          <w:b/>
          <w:sz w:val="24"/>
          <w:szCs w:val="24"/>
          <w:u w:val="single"/>
        </w:rPr>
        <w:t>Accorpamento Province</w:t>
      </w:r>
    </w:p>
    <w:p w:rsidR="00E34315" w:rsidRDefault="00E34315" w:rsidP="008418E9">
      <w:pPr>
        <w:jc w:val="both"/>
        <w:rPr>
          <w:rFonts w:ascii="Arial" w:hAnsi="Arial" w:cs="Arial"/>
          <w:i/>
          <w:sz w:val="24"/>
          <w:szCs w:val="24"/>
        </w:rPr>
      </w:pPr>
      <w:r w:rsidRPr="00B141B1">
        <w:rPr>
          <w:rFonts w:ascii="Arial" w:hAnsi="Arial" w:cs="Arial"/>
          <w:sz w:val="24"/>
          <w:szCs w:val="24"/>
        </w:rPr>
        <w:t xml:space="preserve">Il decreto </w:t>
      </w:r>
      <w:r>
        <w:rPr>
          <w:rFonts w:ascii="Arial" w:hAnsi="Arial" w:cs="Arial"/>
          <w:sz w:val="24"/>
          <w:szCs w:val="24"/>
        </w:rPr>
        <w:t>detta le linee di principio attraverso cui operare l’accorpamento delle Province, “</w:t>
      </w:r>
      <w:r>
        <w:rPr>
          <w:rFonts w:ascii="Arial" w:hAnsi="Arial" w:cs="Arial"/>
          <w:i/>
          <w:sz w:val="24"/>
          <w:szCs w:val="24"/>
          <w:u w:val="single"/>
        </w:rPr>
        <w:t>E</w:t>
      </w:r>
      <w:r w:rsidRPr="00FC1231">
        <w:rPr>
          <w:rFonts w:ascii="Arial" w:hAnsi="Arial" w:cs="Arial"/>
          <w:i/>
          <w:sz w:val="24"/>
          <w:szCs w:val="24"/>
          <w:u w:val="single"/>
        </w:rPr>
        <w:t xml:space="preserve">ntro dieci giorni dalla data di entrata in vigore del presente decreto, </w:t>
      </w:r>
      <w:r w:rsidRPr="00FC1231">
        <w:rPr>
          <w:rFonts w:ascii="Arial" w:hAnsi="Arial" w:cs="Arial"/>
          <w:i/>
          <w:sz w:val="24"/>
          <w:szCs w:val="24"/>
        </w:rPr>
        <w:t>il Consiglio dei ministri determina, con apposita deliberazione, da adottar</w:t>
      </w:r>
      <w:r>
        <w:rPr>
          <w:rFonts w:ascii="Arial" w:hAnsi="Arial" w:cs="Arial"/>
          <w:i/>
          <w:sz w:val="24"/>
          <w:szCs w:val="24"/>
        </w:rPr>
        <w:t>e su proposta dei Ministri dell’I</w:t>
      </w:r>
      <w:r w:rsidRPr="00FC1231">
        <w:rPr>
          <w:rFonts w:ascii="Arial" w:hAnsi="Arial" w:cs="Arial"/>
          <w:i/>
          <w:sz w:val="24"/>
          <w:szCs w:val="24"/>
        </w:rPr>
        <w:t>nterno e della pubblica amministrazione, di concerto con il Ministro dell</w:t>
      </w:r>
      <w:r>
        <w:rPr>
          <w:rFonts w:ascii="Arial" w:hAnsi="Arial" w:cs="Arial"/>
          <w:i/>
          <w:sz w:val="24"/>
          <w:szCs w:val="24"/>
        </w:rPr>
        <w:t>’</w:t>
      </w:r>
      <w:r w:rsidRPr="00FC1231">
        <w:rPr>
          <w:rFonts w:ascii="Arial" w:hAnsi="Arial" w:cs="Arial"/>
          <w:i/>
          <w:sz w:val="24"/>
          <w:szCs w:val="24"/>
        </w:rPr>
        <w:t>economia e delle finanze,</w:t>
      </w:r>
      <w:r>
        <w:rPr>
          <w:rFonts w:ascii="Arial" w:hAnsi="Arial" w:cs="Arial"/>
          <w:i/>
          <w:sz w:val="24"/>
          <w:szCs w:val="24"/>
        </w:rPr>
        <w:t xml:space="preserve"> i</w:t>
      </w:r>
      <w:r w:rsidRPr="00FC1231">
        <w:rPr>
          <w:rFonts w:ascii="Arial" w:hAnsi="Arial" w:cs="Arial"/>
          <w:i/>
          <w:sz w:val="24"/>
          <w:szCs w:val="24"/>
          <w:u w:val="single"/>
        </w:rPr>
        <w:t xml:space="preserve"> criteri per la riduzione e l’accorpamento delle </w:t>
      </w:r>
      <w:r w:rsidRPr="00711122">
        <w:rPr>
          <w:rFonts w:ascii="Arial" w:hAnsi="Arial" w:cs="Arial"/>
          <w:i/>
          <w:sz w:val="24"/>
          <w:szCs w:val="24"/>
          <w:u w:val="single"/>
        </w:rPr>
        <w:t>province, da individuarsi nella dimensione territoriale e nella popolazione residente in ciascuna provincia</w:t>
      </w:r>
      <w:r>
        <w:rPr>
          <w:rFonts w:ascii="Arial" w:hAnsi="Arial" w:cs="Arial"/>
          <w:i/>
          <w:sz w:val="24"/>
          <w:szCs w:val="24"/>
        </w:rPr>
        <w:t>” (</w:t>
      </w:r>
      <w:r w:rsidRPr="002D0BBF">
        <w:rPr>
          <w:rFonts w:ascii="Arial" w:hAnsi="Arial" w:cs="Arial"/>
          <w:i/>
          <w:sz w:val="24"/>
          <w:szCs w:val="24"/>
          <w:u w:val="single"/>
        </w:rPr>
        <w:t>art. 17</w:t>
      </w:r>
      <w:r>
        <w:rPr>
          <w:rFonts w:ascii="Arial" w:hAnsi="Arial" w:cs="Arial"/>
          <w:i/>
          <w:sz w:val="24"/>
          <w:szCs w:val="24"/>
        </w:rPr>
        <w:t>).</w:t>
      </w:r>
    </w:p>
    <w:p w:rsidR="00E34315" w:rsidRDefault="00E34315" w:rsidP="00163949">
      <w:pPr>
        <w:jc w:val="both"/>
        <w:rPr>
          <w:rFonts w:ascii="Arial" w:hAnsi="Arial" w:cs="Arial"/>
          <w:b/>
          <w:sz w:val="24"/>
          <w:szCs w:val="24"/>
        </w:rPr>
      </w:pPr>
      <w:r w:rsidRPr="002B0B0F">
        <w:rPr>
          <w:rFonts w:ascii="Arial" w:hAnsi="Arial" w:cs="Arial"/>
          <w:b/>
          <w:sz w:val="24"/>
          <w:szCs w:val="24"/>
        </w:rPr>
        <w:t>Questa tempistica è del tutto inaccettabile</w:t>
      </w:r>
      <w:r>
        <w:rPr>
          <w:rFonts w:ascii="Arial" w:hAnsi="Arial" w:cs="Arial"/>
          <w:b/>
          <w:sz w:val="24"/>
          <w:szCs w:val="24"/>
        </w:rPr>
        <w:t xml:space="preserve">: si interviene con nuove determinazioni nella fase iniziale della conversione del Decreto legge, mentre, cioè, il Parlamento sta analizzando i criteri definiti dal DL e decidendone la validità, la congruità, oppure la necessità di intervenire con modifiche sull’articolato. </w:t>
      </w:r>
    </w:p>
    <w:p w:rsidR="00E34315" w:rsidRDefault="00E34315" w:rsidP="00163949">
      <w:pPr>
        <w:jc w:val="both"/>
        <w:rPr>
          <w:rFonts w:ascii="Arial" w:hAnsi="Arial" w:cs="Arial"/>
          <w:b/>
          <w:sz w:val="24"/>
          <w:szCs w:val="24"/>
        </w:rPr>
      </w:pPr>
      <w:r>
        <w:rPr>
          <w:rFonts w:ascii="Arial" w:hAnsi="Arial" w:cs="Arial"/>
          <w:b/>
          <w:sz w:val="24"/>
          <w:szCs w:val="24"/>
        </w:rPr>
        <w:t xml:space="preserve">La deliberazione del Consiglio dei Ministri dovrebbe intervenire quindi dopo la conversione del  decreto in Legge,  dando attuazione alle eventuali modifiche intervenute nel dibattito parlamentare. </w:t>
      </w:r>
    </w:p>
    <w:p w:rsidR="00E34315" w:rsidRDefault="00E34315" w:rsidP="00163949">
      <w:pPr>
        <w:jc w:val="both"/>
        <w:rPr>
          <w:rFonts w:ascii="Arial" w:hAnsi="Arial" w:cs="Arial"/>
          <w:sz w:val="24"/>
          <w:szCs w:val="24"/>
        </w:rPr>
      </w:pPr>
      <w:r>
        <w:rPr>
          <w:rFonts w:ascii="Arial" w:hAnsi="Arial" w:cs="Arial"/>
          <w:sz w:val="24"/>
          <w:szCs w:val="24"/>
        </w:rPr>
        <w:t xml:space="preserve">Secondo le notizie emerse sulla stampa i criteri considerati necessari a definire le Province dovrebbero essere i seguenti: popolazione residente (350.000 abitanti), estensione territoriale (3.000 chilometri quadrati). </w:t>
      </w:r>
    </w:p>
    <w:p w:rsidR="00E34315" w:rsidRDefault="00E34315" w:rsidP="00163949">
      <w:pPr>
        <w:jc w:val="both"/>
        <w:rPr>
          <w:rFonts w:ascii="Arial" w:hAnsi="Arial" w:cs="Arial"/>
          <w:sz w:val="24"/>
          <w:szCs w:val="24"/>
        </w:rPr>
      </w:pPr>
      <w:r>
        <w:rPr>
          <w:rFonts w:ascii="Arial" w:hAnsi="Arial" w:cs="Arial"/>
          <w:sz w:val="24"/>
          <w:szCs w:val="24"/>
        </w:rPr>
        <w:t xml:space="preserve">Tali criteri, se interpretati rigidamente e con l’obbligo che siano presenti entrambi, prefigurano il mantenimento di sole 16 province nelle regioni a statuto ordinario e di 7 Province nelle regioni a statuto speciale. Occorre considerare infatti che 10 Province sono soppresse perché ricadenti nelle aree metropolitane e conseguentemente all’istituzione delle Città metropolitane. </w:t>
      </w:r>
    </w:p>
    <w:p w:rsidR="00E34315" w:rsidRDefault="00E34315" w:rsidP="00824692">
      <w:pPr>
        <w:jc w:val="both"/>
        <w:rPr>
          <w:rFonts w:ascii="Arial" w:hAnsi="Arial" w:cs="Arial"/>
          <w:b/>
          <w:sz w:val="24"/>
          <w:szCs w:val="24"/>
        </w:rPr>
      </w:pPr>
      <w:r>
        <w:rPr>
          <w:rFonts w:ascii="Arial" w:hAnsi="Arial" w:cs="Arial"/>
          <w:b/>
          <w:sz w:val="24"/>
          <w:szCs w:val="24"/>
        </w:rPr>
        <w:t>La proposta del Governo per l’accorpamento delle Province deve offrire dei criteri di indirizzo che consentano comunque ai Consigli delle autonomie locali e alle Regioni di operare una proposta condivisa di riduzione del numero delle Province credibile e sostenibile in tutto il Paese, anche nelle Regioni a statuto speciale.</w:t>
      </w:r>
    </w:p>
    <w:p w:rsidR="00E34315" w:rsidRPr="00B141B1" w:rsidRDefault="00E34315" w:rsidP="00B141B1">
      <w:pPr>
        <w:ind w:left="360"/>
        <w:jc w:val="both"/>
        <w:rPr>
          <w:rFonts w:ascii="Arial" w:hAnsi="Arial" w:cs="Arial"/>
          <w:sz w:val="24"/>
          <w:szCs w:val="24"/>
        </w:rPr>
      </w:pPr>
    </w:p>
    <w:p w:rsidR="00E34315" w:rsidRPr="002B0B0F" w:rsidRDefault="00E34315" w:rsidP="00B141B1">
      <w:pPr>
        <w:pStyle w:val="ListParagraph"/>
        <w:numPr>
          <w:ilvl w:val="0"/>
          <w:numId w:val="2"/>
        </w:numPr>
        <w:jc w:val="both"/>
        <w:rPr>
          <w:rFonts w:ascii="Arial" w:hAnsi="Arial" w:cs="Arial"/>
          <w:b/>
          <w:sz w:val="24"/>
          <w:szCs w:val="24"/>
          <w:u w:val="single"/>
        </w:rPr>
      </w:pPr>
      <w:r w:rsidRPr="002B0B0F">
        <w:rPr>
          <w:rFonts w:ascii="Arial" w:hAnsi="Arial" w:cs="Arial"/>
          <w:b/>
          <w:sz w:val="24"/>
          <w:szCs w:val="24"/>
          <w:u w:val="single"/>
        </w:rPr>
        <w:t>Funzioni di Area Vasta</w:t>
      </w:r>
    </w:p>
    <w:p w:rsidR="00E34315" w:rsidRDefault="00E34315" w:rsidP="002B0B0F">
      <w:pPr>
        <w:pStyle w:val="ListParagraph"/>
        <w:jc w:val="both"/>
        <w:rPr>
          <w:rFonts w:ascii="Arial" w:hAnsi="Arial" w:cs="Arial"/>
          <w:sz w:val="24"/>
          <w:szCs w:val="24"/>
        </w:rPr>
      </w:pPr>
    </w:p>
    <w:p w:rsidR="00E34315" w:rsidRDefault="00E34315" w:rsidP="00163949">
      <w:pPr>
        <w:pStyle w:val="ListParagraph"/>
        <w:ind w:left="0"/>
        <w:jc w:val="both"/>
        <w:rPr>
          <w:rFonts w:ascii="Arial" w:hAnsi="Arial" w:cs="Arial"/>
          <w:sz w:val="24"/>
          <w:szCs w:val="24"/>
        </w:rPr>
      </w:pPr>
      <w:r w:rsidRPr="002B0B0F">
        <w:rPr>
          <w:rFonts w:ascii="Arial" w:hAnsi="Arial" w:cs="Arial"/>
          <w:sz w:val="24"/>
          <w:szCs w:val="24"/>
        </w:rPr>
        <w:t>Nel decreto viene prevista la ridefinizione delle funzioni fondamentali in capo alle Province, quali enti con funzioni di area vasta</w:t>
      </w:r>
      <w:r>
        <w:rPr>
          <w:rFonts w:ascii="Arial" w:hAnsi="Arial" w:cs="Arial"/>
          <w:sz w:val="24"/>
          <w:szCs w:val="24"/>
        </w:rPr>
        <w:t>.</w:t>
      </w:r>
    </w:p>
    <w:p w:rsidR="00E34315" w:rsidRDefault="00E34315" w:rsidP="00163949">
      <w:pPr>
        <w:pStyle w:val="ListParagraph"/>
        <w:ind w:left="0"/>
        <w:jc w:val="both"/>
        <w:rPr>
          <w:rFonts w:ascii="Arial" w:hAnsi="Arial" w:cs="Arial"/>
          <w:sz w:val="24"/>
          <w:szCs w:val="24"/>
        </w:rPr>
      </w:pPr>
    </w:p>
    <w:p w:rsidR="00E34315" w:rsidRDefault="00E34315" w:rsidP="00163949">
      <w:pPr>
        <w:pStyle w:val="ListParagraph"/>
        <w:ind w:left="0"/>
        <w:jc w:val="both"/>
        <w:rPr>
          <w:rFonts w:ascii="Arial" w:hAnsi="Arial" w:cs="Arial"/>
          <w:i/>
          <w:sz w:val="24"/>
          <w:szCs w:val="24"/>
        </w:rPr>
      </w:pPr>
      <w:r>
        <w:rPr>
          <w:rFonts w:ascii="Arial" w:hAnsi="Arial" w:cs="Arial"/>
          <w:sz w:val="24"/>
          <w:szCs w:val="24"/>
        </w:rPr>
        <w:t xml:space="preserve">Il </w:t>
      </w:r>
      <w:r w:rsidRPr="002D0BBF">
        <w:rPr>
          <w:rFonts w:ascii="Arial" w:hAnsi="Arial" w:cs="Arial"/>
          <w:sz w:val="24"/>
          <w:szCs w:val="24"/>
          <w:u w:val="single"/>
        </w:rPr>
        <w:t>comma 10 dell’articolo 17</w:t>
      </w:r>
      <w:r>
        <w:rPr>
          <w:rFonts w:ascii="Arial" w:hAnsi="Arial" w:cs="Arial"/>
          <w:sz w:val="24"/>
          <w:szCs w:val="24"/>
        </w:rPr>
        <w:t xml:space="preserve"> del Decreto stabilisce che “</w:t>
      </w:r>
      <w:r w:rsidRPr="006116BF">
        <w:rPr>
          <w:rFonts w:ascii="Arial" w:hAnsi="Arial" w:cs="Arial"/>
          <w:i/>
          <w:sz w:val="24"/>
          <w:szCs w:val="24"/>
        </w:rPr>
        <w:t>all’esito della procedura di accorpamento, sono funzioni delle province quali enti con funzioni di area vasta, ai sensi dell'articolo 117, secondo comma, lettera p), della Costituzione:</w:t>
      </w:r>
    </w:p>
    <w:p w:rsidR="00E34315" w:rsidRPr="006116BF" w:rsidRDefault="00E34315" w:rsidP="00163949">
      <w:pPr>
        <w:pStyle w:val="ListParagraph"/>
        <w:ind w:left="0"/>
        <w:jc w:val="both"/>
        <w:rPr>
          <w:rFonts w:ascii="Arial" w:hAnsi="Arial" w:cs="Arial"/>
          <w:i/>
          <w:sz w:val="24"/>
          <w:szCs w:val="24"/>
        </w:rPr>
      </w:pPr>
    </w:p>
    <w:p w:rsidR="00E34315" w:rsidRPr="006116BF" w:rsidRDefault="00E34315" w:rsidP="00163949">
      <w:pPr>
        <w:pStyle w:val="ListParagraph"/>
        <w:ind w:left="0"/>
        <w:jc w:val="both"/>
        <w:rPr>
          <w:rFonts w:ascii="Arial" w:hAnsi="Arial" w:cs="Arial"/>
          <w:i/>
          <w:sz w:val="24"/>
          <w:szCs w:val="24"/>
        </w:rPr>
      </w:pPr>
      <w:r w:rsidRPr="006116BF">
        <w:rPr>
          <w:rFonts w:ascii="Arial" w:hAnsi="Arial" w:cs="Arial"/>
          <w:i/>
          <w:sz w:val="24"/>
          <w:szCs w:val="24"/>
        </w:rPr>
        <w:t>a) pianificazione territoriale provinciale di coordinamento nonché tutela e valorizzazione dell</w:t>
      </w:r>
      <w:r w:rsidRPr="006116BF">
        <w:rPr>
          <w:rFonts w:ascii="MS Mincho" w:eastAsia="MS Mincho" w:hAnsi="MS Mincho" w:cs="MS Mincho" w:hint="eastAsia"/>
          <w:i/>
          <w:sz w:val="24"/>
          <w:szCs w:val="24"/>
        </w:rPr>
        <w:t>‟</w:t>
      </w:r>
      <w:r w:rsidRPr="006116BF">
        <w:rPr>
          <w:rFonts w:ascii="Arial" w:hAnsi="Arial" w:cs="Arial"/>
          <w:i/>
          <w:sz w:val="24"/>
          <w:szCs w:val="24"/>
        </w:rPr>
        <w:t>ambiente, per gli aspetti di competenza;</w:t>
      </w:r>
    </w:p>
    <w:p w:rsidR="00E34315" w:rsidRDefault="00E34315" w:rsidP="00163949">
      <w:pPr>
        <w:pStyle w:val="ListParagraph"/>
        <w:ind w:left="0"/>
        <w:jc w:val="both"/>
        <w:rPr>
          <w:rFonts w:ascii="Arial" w:hAnsi="Arial" w:cs="Arial"/>
          <w:i/>
          <w:sz w:val="24"/>
          <w:szCs w:val="24"/>
        </w:rPr>
      </w:pPr>
    </w:p>
    <w:p w:rsidR="00E34315" w:rsidRPr="006116BF" w:rsidRDefault="00E34315" w:rsidP="00163949">
      <w:pPr>
        <w:pStyle w:val="ListParagraph"/>
        <w:ind w:left="0"/>
        <w:jc w:val="both"/>
        <w:rPr>
          <w:rFonts w:ascii="Arial" w:hAnsi="Arial" w:cs="Arial"/>
          <w:i/>
          <w:sz w:val="24"/>
          <w:szCs w:val="24"/>
        </w:rPr>
      </w:pPr>
      <w:r w:rsidRPr="006116BF">
        <w:rPr>
          <w:rFonts w:ascii="Arial" w:hAnsi="Arial" w:cs="Arial"/>
          <w:i/>
          <w:sz w:val="24"/>
          <w:szCs w:val="24"/>
        </w:rPr>
        <w:t xml:space="preserve">b) pianificazione </w:t>
      </w:r>
      <w:smartTag w:uri="urn:schemas-microsoft-com:office:smarttags" w:element="PersonName">
        <w:smartTagPr>
          <w:attr w:name="ProductID" w:val="dei servizi"/>
        </w:smartTagPr>
        <w:r w:rsidRPr="006116BF">
          <w:rPr>
            <w:rFonts w:ascii="Arial" w:hAnsi="Arial" w:cs="Arial"/>
            <w:i/>
            <w:sz w:val="24"/>
            <w:szCs w:val="24"/>
          </w:rPr>
          <w:t>dei servizi</w:t>
        </w:r>
      </w:smartTag>
      <w:r w:rsidRPr="006116BF">
        <w:rPr>
          <w:rFonts w:ascii="Arial" w:hAnsi="Arial" w:cs="Arial"/>
          <w:i/>
          <w:sz w:val="24"/>
          <w:szCs w:val="24"/>
        </w:rPr>
        <w:t xml:space="preserve"> di trasporto in ambito provinciale, autorizzazione e controllo in materia di trasporto privato, in coerenza con la programmazione regionale nonchè costruzione, classificazione e gestione delle strade provinciali e regolazione della circolazione stradale ad esse inerente.</w:t>
      </w:r>
    </w:p>
    <w:p w:rsidR="00E34315" w:rsidRPr="00B141B1" w:rsidRDefault="00E34315" w:rsidP="00163949">
      <w:pPr>
        <w:pStyle w:val="ListParagraph"/>
        <w:ind w:left="0"/>
        <w:jc w:val="both"/>
        <w:rPr>
          <w:rFonts w:ascii="Arial" w:hAnsi="Arial" w:cs="Arial"/>
          <w:sz w:val="24"/>
          <w:szCs w:val="24"/>
        </w:rPr>
      </w:pPr>
    </w:p>
    <w:p w:rsidR="00E34315" w:rsidRDefault="00E34315" w:rsidP="00163949">
      <w:pPr>
        <w:pStyle w:val="ListParagraph"/>
        <w:ind w:left="0"/>
        <w:jc w:val="both"/>
        <w:rPr>
          <w:rFonts w:ascii="Arial" w:hAnsi="Arial" w:cs="Arial"/>
          <w:sz w:val="24"/>
          <w:szCs w:val="24"/>
        </w:rPr>
      </w:pPr>
      <w:r w:rsidRPr="00B141B1">
        <w:rPr>
          <w:rFonts w:ascii="Arial" w:hAnsi="Arial" w:cs="Arial"/>
          <w:sz w:val="24"/>
          <w:szCs w:val="24"/>
        </w:rPr>
        <w:t>In questo modo si cerca di superare il vulnus costituzionale relativo allo svuotamento delle funzioni provinciali operato dal comma 18 dell’art. 23 del decreto Salva Italia, ma</w:t>
      </w:r>
      <w:r>
        <w:rPr>
          <w:rFonts w:ascii="Arial" w:hAnsi="Arial" w:cs="Arial"/>
          <w:sz w:val="24"/>
          <w:szCs w:val="24"/>
        </w:rPr>
        <w:t xml:space="preserve"> questa disposizione non viene espressamente abrogata e quindi resta all’attenzione della Corte costituzionale.</w:t>
      </w:r>
    </w:p>
    <w:p w:rsidR="00E34315" w:rsidRDefault="00E34315" w:rsidP="00163949">
      <w:pPr>
        <w:pStyle w:val="ListParagraph"/>
        <w:ind w:left="0"/>
        <w:jc w:val="both"/>
        <w:rPr>
          <w:rFonts w:ascii="Arial" w:hAnsi="Arial" w:cs="Arial"/>
          <w:sz w:val="24"/>
          <w:szCs w:val="24"/>
        </w:rPr>
      </w:pPr>
    </w:p>
    <w:p w:rsidR="00E34315" w:rsidRDefault="00E34315" w:rsidP="00163949">
      <w:pPr>
        <w:pStyle w:val="ListParagraph"/>
        <w:ind w:left="0"/>
        <w:jc w:val="both"/>
        <w:rPr>
          <w:rFonts w:ascii="Arial" w:hAnsi="Arial" w:cs="Arial"/>
          <w:sz w:val="24"/>
          <w:szCs w:val="24"/>
        </w:rPr>
      </w:pPr>
      <w:r>
        <w:rPr>
          <w:rFonts w:ascii="Arial" w:hAnsi="Arial" w:cs="Arial"/>
          <w:sz w:val="24"/>
          <w:szCs w:val="24"/>
        </w:rPr>
        <w:t>A nostro avviso, invece, l’intervento sulle funzioni delle Province dovrebbe portare chiaramente al superamento della prospettiva di svuotamento delle Province operata dal decreto 201/11 per fornire al Paese un chiaro assetto delle funzioni di Comuni, Province e Città metropolitane.</w:t>
      </w:r>
    </w:p>
    <w:p w:rsidR="00E34315" w:rsidRDefault="00E34315" w:rsidP="00163949">
      <w:pPr>
        <w:pStyle w:val="ListParagraph"/>
        <w:ind w:left="0"/>
        <w:jc w:val="both"/>
        <w:rPr>
          <w:rFonts w:ascii="Arial" w:hAnsi="Arial" w:cs="Arial"/>
          <w:sz w:val="24"/>
          <w:szCs w:val="24"/>
        </w:rPr>
      </w:pPr>
    </w:p>
    <w:p w:rsidR="00E34315" w:rsidRDefault="00E34315" w:rsidP="00163949">
      <w:pPr>
        <w:pStyle w:val="ListParagraph"/>
        <w:ind w:left="0"/>
        <w:jc w:val="both"/>
        <w:rPr>
          <w:rFonts w:ascii="Arial" w:hAnsi="Arial" w:cs="Arial"/>
          <w:sz w:val="24"/>
          <w:szCs w:val="24"/>
        </w:rPr>
      </w:pPr>
      <w:r w:rsidRPr="00163949">
        <w:rPr>
          <w:rFonts w:ascii="Arial" w:hAnsi="Arial" w:cs="Arial"/>
          <w:sz w:val="24"/>
          <w:szCs w:val="24"/>
        </w:rPr>
        <w:t>In ogni caso</w:t>
      </w:r>
      <w:r>
        <w:rPr>
          <w:rFonts w:ascii="Arial" w:hAnsi="Arial" w:cs="Arial"/>
          <w:sz w:val="24"/>
          <w:szCs w:val="24"/>
        </w:rPr>
        <w:t>, dal punto di vista sostanziale,</w:t>
      </w:r>
      <w:r>
        <w:rPr>
          <w:rFonts w:ascii="Arial" w:hAnsi="Arial" w:cs="Arial"/>
          <w:b/>
          <w:sz w:val="24"/>
          <w:szCs w:val="24"/>
        </w:rPr>
        <w:t xml:space="preserve"> </w:t>
      </w:r>
      <w:r w:rsidRPr="002470EF">
        <w:rPr>
          <w:rFonts w:ascii="Arial" w:hAnsi="Arial" w:cs="Arial"/>
          <w:b/>
          <w:sz w:val="24"/>
          <w:szCs w:val="24"/>
        </w:rPr>
        <w:t>le funzioni assegnate sono del tutto insufficienti e non connotano chiaramente un ente di governo di area vasta</w:t>
      </w:r>
      <w:r>
        <w:rPr>
          <w:rFonts w:ascii="Arial" w:hAnsi="Arial" w:cs="Arial"/>
          <w:sz w:val="24"/>
          <w:szCs w:val="24"/>
        </w:rPr>
        <w:t>.</w:t>
      </w:r>
    </w:p>
    <w:p w:rsidR="00E34315" w:rsidRDefault="00E34315" w:rsidP="00163949">
      <w:pPr>
        <w:pStyle w:val="ListParagraph"/>
        <w:ind w:left="0"/>
        <w:jc w:val="both"/>
        <w:rPr>
          <w:rFonts w:ascii="Arial" w:hAnsi="Arial" w:cs="Arial"/>
          <w:sz w:val="24"/>
          <w:szCs w:val="24"/>
        </w:rPr>
      </w:pPr>
    </w:p>
    <w:p w:rsidR="00E34315" w:rsidRDefault="00E34315" w:rsidP="00163949">
      <w:pPr>
        <w:pStyle w:val="ListParagraph"/>
        <w:ind w:left="0"/>
        <w:jc w:val="both"/>
        <w:rPr>
          <w:rFonts w:ascii="Arial" w:hAnsi="Arial" w:cs="Arial"/>
          <w:sz w:val="24"/>
          <w:szCs w:val="24"/>
        </w:rPr>
      </w:pPr>
      <w:r>
        <w:rPr>
          <w:rFonts w:ascii="Arial" w:hAnsi="Arial" w:cs="Arial"/>
          <w:sz w:val="24"/>
          <w:szCs w:val="24"/>
        </w:rPr>
        <w:t>N</w:t>
      </w:r>
      <w:r w:rsidRPr="00B141B1">
        <w:rPr>
          <w:rFonts w:ascii="Arial" w:hAnsi="Arial" w:cs="Arial"/>
          <w:sz w:val="24"/>
          <w:szCs w:val="24"/>
        </w:rPr>
        <w:t xml:space="preserve">on sono </w:t>
      </w:r>
      <w:r>
        <w:rPr>
          <w:rFonts w:ascii="Arial" w:hAnsi="Arial" w:cs="Arial"/>
          <w:sz w:val="24"/>
          <w:szCs w:val="24"/>
        </w:rPr>
        <w:t xml:space="preserve">infatti </w:t>
      </w:r>
      <w:r w:rsidRPr="00B141B1">
        <w:rPr>
          <w:rFonts w:ascii="Arial" w:hAnsi="Arial" w:cs="Arial"/>
          <w:sz w:val="24"/>
          <w:szCs w:val="24"/>
        </w:rPr>
        <w:t xml:space="preserve">riconosciute in capo alle </w:t>
      </w:r>
      <w:r>
        <w:rPr>
          <w:rFonts w:ascii="Arial" w:hAnsi="Arial" w:cs="Arial"/>
          <w:sz w:val="24"/>
          <w:szCs w:val="24"/>
        </w:rPr>
        <w:t xml:space="preserve">nuove </w:t>
      </w:r>
      <w:r w:rsidRPr="00B141B1">
        <w:rPr>
          <w:rFonts w:ascii="Arial" w:hAnsi="Arial" w:cs="Arial"/>
          <w:sz w:val="24"/>
          <w:szCs w:val="24"/>
        </w:rPr>
        <w:t>Province</w:t>
      </w:r>
      <w:r>
        <w:rPr>
          <w:rFonts w:ascii="Arial" w:hAnsi="Arial" w:cs="Arial"/>
          <w:sz w:val="24"/>
          <w:szCs w:val="24"/>
        </w:rPr>
        <w:t xml:space="preserve">, accorpate e quindi con una dimensione territoriale corrispondente a pieno ai criteri di ambiti territoriali ottimali di area vasta, </w:t>
      </w:r>
      <w:r w:rsidRPr="00B141B1">
        <w:rPr>
          <w:rFonts w:ascii="Arial" w:hAnsi="Arial" w:cs="Arial"/>
          <w:sz w:val="24"/>
          <w:szCs w:val="24"/>
        </w:rPr>
        <w:t xml:space="preserve"> </w:t>
      </w:r>
      <w:r w:rsidRPr="009D5B09">
        <w:rPr>
          <w:rFonts w:ascii="Arial" w:hAnsi="Arial" w:cs="Arial"/>
          <w:sz w:val="24"/>
          <w:szCs w:val="24"/>
        </w:rPr>
        <w:t>funzioni essenziali</w:t>
      </w:r>
      <w:r>
        <w:rPr>
          <w:rFonts w:ascii="Arial" w:hAnsi="Arial" w:cs="Arial"/>
          <w:sz w:val="24"/>
          <w:szCs w:val="24"/>
        </w:rPr>
        <w:t>, previste sia dalla Legge 42 sul federalismo fiscale, sia dagli emendamenti dei relatori alla Carta delle Autonomie, in discussione al Senato.</w:t>
      </w:r>
    </w:p>
    <w:p w:rsidR="00E34315" w:rsidRDefault="00E34315" w:rsidP="00163949">
      <w:pPr>
        <w:pStyle w:val="ListParagraph"/>
        <w:ind w:left="0"/>
        <w:jc w:val="both"/>
        <w:rPr>
          <w:rFonts w:ascii="Arial" w:hAnsi="Arial" w:cs="Arial"/>
          <w:sz w:val="24"/>
          <w:szCs w:val="24"/>
        </w:rPr>
      </w:pPr>
    </w:p>
    <w:p w:rsidR="00E34315" w:rsidRPr="009D5B09" w:rsidRDefault="00E34315" w:rsidP="00163949">
      <w:pPr>
        <w:pStyle w:val="ListParagraph"/>
        <w:ind w:left="0"/>
        <w:jc w:val="both"/>
        <w:rPr>
          <w:rFonts w:ascii="Arial" w:hAnsi="Arial" w:cs="Arial"/>
          <w:b/>
          <w:sz w:val="24"/>
          <w:szCs w:val="24"/>
        </w:rPr>
      </w:pPr>
      <w:r w:rsidRPr="009D5B09">
        <w:rPr>
          <w:rFonts w:ascii="Arial" w:hAnsi="Arial" w:cs="Arial"/>
          <w:b/>
          <w:sz w:val="24"/>
          <w:szCs w:val="24"/>
        </w:rPr>
        <w:t>Tra le funzioni fondamentali delle Province dovrebbero pertanto essere comprese</w:t>
      </w:r>
      <w:r>
        <w:rPr>
          <w:rFonts w:ascii="Arial" w:hAnsi="Arial" w:cs="Arial"/>
          <w:b/>
          <w:sz w:val="24"/>
          <w:szCs w:val="24"/>
        </w:rPr>
        <w:t>:</w:t>
      </w:r>
    </w:p>
    <w:p w:rsidR="00E34315" w:rsidRDefault="00E34315" w:rsidP="00B141B1">
      <w:pPr>
        <w:pStyle w:val="ListParagraph"/>
        <w:jc w:val="both"/>
        <w:rPr>
          <w:rFonts w:ascii="Arial" w:hAnsi="Arial" w:cs="Arial"/>
          <w:sz w:val="24"/>
          <w:szCs w:val="24"/>
        </w:rPr>
      </w:pPr>
    </w:p>
    <w:p w:rsidR="00E34315" w:rsidRDefault="00E34315" w:rsidP="009D5B09">
      <w:pPr>
        <w:pStyle w:val="ListParagraph"/>
        <w:numPr>
          <w:ilvl w:val="0"/>
          <w:numId w:val="5"/>
        </w:numPr>
        <w:tabs>
          <w:tab w:val="clear" w:pos="1080"/>
          <w:tab w:val="num" w:pos="-4140"/>
        </w:tabs>
        <w:ind w:left="720"/>
        <w:jc w:val="both"/>
        <w:rPr>
          <w:rFonts w:ascii="Arial" w:hAnsi="Arial" w:cs="Arial"/>
          <w:b/>
          <w:sz w:val="24"/>
          <w:szCs w:val="24"/>
        </w:rPr>
      </w:pPr>
      <w:r>
        <w:rPr>
          <w:rFonts w:ascii="Arial" w:hAnsi="Arial" w:cs="Arial"/>
          <w:b/>
          <w:sz w:val="24"/>
          <w:szCs w:val="24"/>
        </w:rPr>
        <w:t>l’</w:t>
      </w:r>
      <w:r w:rsidRPr="00824692">
        <w:rPr>
          <w:rFonts w:ascii="Arial" w:hAnsi="Arial" w:cs="Arial"/>
          <w:b/>
          <w:sz w:val="24"/>
          <w:szCs w:val="24"/>
        </w:rPr>
        <w:t xml:space="preserve">amministrazione generale, </w:t>
      </w:r>
      <w:r>
        <w:rPr>
          <w:rFonts w:ascii="Arial" w:hAnsi="Arial" w:cs="Arial"/>
          <w:b/>
          <w:sz w:val="24"/>
          <w:szCs w:val="24"/>
        </w:rPr>
        <w:t xml:space="preserve">la </w:t>
      </w:r>
      <w:r w:rsidRPr="00824692">
        <w:rPr>
          <w:rFonts w:ascii="Arial" w:hAnsi="Arial" w:cs="Arial"/>
          <w:b/>
          <w:sz w:val="24"/>
          <w:szCs w:val="24"/>
        </w:rPr>
        <w:t xml:space="preserve">programmazione e </w:t>
      </w:r>
      <w:r>
        <w:rPr>
          <w:rFonts w:ascii="Arial" w:hAnsi="Arial" w:cs="Arial"/>
          <w:b/>
          <w:sz w:val="24"/>
          <w:szCs w:val="24"/>
        </w:rPr>
        <w:t xml:space="preserve">la </w:t>
      </w:r>
      <w:r w:rsidRPr="00824692">
        <w:rPr>
          <w:rFonts w:ascii="Arial" w:hAnsi="Arial" w:cs="Arial"/>
          <w:b/>
          <w:sz w:val="24"/>
          <w:szCs w:val="24"/>
        </w:rPr>
        <w:t xml:space="preserve">raccolta dati, </w:t>
      </w:r>
      <w:r>
        <w:rPr>
          <w:rFonts w:ascii="Arial" w:hAnsi="Arial" w:cs="Arial"/>
          <w:b/>
          <w:sz w:val="24"/>
          <w:szCs w:val="24"/>
        </w:rPr>
        <w:t xml:space="preserve">la </w:t>
      </w:r>
      <w:r w:rsidRPr="00824692">
        <w:rPr>
          <w:rFonts w:ascii="Arial" w:hAnsi="Arial" w:cs="Arial"/>
          <w:b/>
          <w:sz w:val="24"/>
          <w:szCs w:val="24"/>
        </w:rPr>
        <w:t xml:space="preserve">gestione finanziaria e contabile e </w:t>
      </w:r>
      <w:r>
        <w:rPr>
          <w:rFonts w:ascii="Arial" w:hAnsi="Arial" w:cs="Arial"/>
          <w:b/>
          <w:sz w:val="24"/>
          <w:szCs w:val="24"/>
        </w:rPr>
        <w:t>l’</w:t>
      </w:r>
      <w:r w:rsidRPr="00824692">
        <w:rPr>
          <w:rFonts w:ascii="Arial" w:hAnsi="Arial" w:cs="Arial"/>
          <w:b/>
          <w:sz w:val="24"/>
          <w:szCs w:val="24"/>
        </w:rPr>
        <w:t xml:space="preserve">organizzazione </w:t>
      </w:r>
      <w:smartTag w:uri="urn:schemas-microsoft-com:office:smarttags" w:element="PersonName">
        <w:smartTagPr>
          <w:attr w:name="ProductID" w:val="dei servizi"/>
        </w:smartTagPr>
        <w:r w:rsidRPr="00824692">
          <w:rPr>
            <w:rFonts w:ascii="Arial" w:hAnsi="Arial" w:cs="Arial"/>
            <w:b/>
            <w:sz w:val="24"/>
            <w:szCs w:val="24"/>
          </w:rPr>
          <w:t>dei servizi</w:t>
        </w:r>
      </w:smartTag>
      <w:r w:rsidRPr="00824692">
        <w:rPr>
          <w:rFonts w:ascii="Arial" w:hAnsi="Arial" w:cs="Arial"/>
          <w:b/>
          <w:sz w:val="24"/>
          <w:szCs w:val="24"/>
        </w:rPr>
        <w:t xml:space="preserve"> pubblici locali di competenza</w:t>
      </w:r>
      <w:r>
        <w:rPr>
          <w:rFonts w:ascii="Arial" w:hAnsi="Arial" w:cs="Arial"/>
          <w:b/>
          <w:sz w:val="24"/>
          <w:szCs w:val="24"/>
        </w:rPr>
        <w:t>;</w:t>
      </w:r>
    </w:p>
    <w:p w:rsidR="00E34315" w:rsidRPr="009D5B09" w:rsidRDefault="00E34315" w:rsidP="009D5B09">
      <w:pPr>
        <w:pStyle w:val="ListParagraph"/>
        <w:numPr>
          <w:ilvl w:val="0"/>
          <w:numId w:val="5"/>
        </w:numPr>
        <w:tabs>
          <w:tab w:val="clear" w:pos="1080"/>
          <w:tab w:val="num" w:pos="-4140"/>
        </w:tabs>
        <w:ind w:left="720"/>
        <w:jc w:val="both"/>
        <w:rPr>
          <w:rFonts w:ascii="Arial" w:hAnsi="Arial" w:cs="Arial"/>
          <w:b/>
          <w:sz w:val="24"/>
          <w:szCs w:val="24"/>
        </w:rPr>
      </w:pPr>
      <w:r w:rsidRPr="009D5B09">
        <w:rPr>
          <w:rFonts w:ascii="Arial" w:hAnsi="Arial" w:cs="Arial"/>
          <w:b/>
          <w:sz w:val="24"/>
          <w:szCs w:val="24"/>
        </w:rPr>
        <w:t>la programmazione dell’offerta formativa e la gestione dell’edilizia scolastica delle scuole secondarie di secondo grado;</w:t>
      </w:r>
    </w:p>
    <w:p w:rsidR="00E34315" w:rsidRPr="009D5B09" w:rsidRDefault="00E34315" w:rsidP="009D5B09">
      <w:pPr>
        <w:pStyle w:val="ListParagraph"/>
        <w:numPr>
          <w:ilvl w:val="0"/>
          <w:numId w:val="5"/>
        </w:numPr>
        <w:tabs>
          <w:tab w:val="clear" w:pos="1080"/>
          <w:tab w:val="num" w:pos="-4140"/>
        </w:tabs>
        <w:ind w:left="720"/>
        <w:jc w:val="both"/>
        <w:rPr>
          <w:rFonts w:ascii="Arial" w:hAnsi="Arial" w:cs="Arial"/>
          <w:b/>
          <w:sz w:val="24"/>
          <w:szCs w:val="24"/>
        </w:rPr>
      </w:pPr>
      <w:r w:rsidRPr="009D5B09">
        <w:rPr>
          <w:rFonts w:ascii="Arial" w:hAnsi="Arial" w:cs="Arial"/>
          <w:b/>
          <w:sz w:val="24"/>
          <w:szCs w:val="24"/>
        </w:rPr>
        <w:t xml:space="preserve">l’organizzazione e la gestione </w:t>
      </w:r>
      <w:smartTag w:uri="urn:schemas-microsoft-com:office:smarttags" w:element="PersonName">
        <w:smartTagPr>
          <w:attr w:name="ProductID" w:val="dei servizi"/>
        </w:smartTagPr>
        <w:r w:rsidRPr="009D5B09">
          <w:rPr>
            <w:rFonts w:ascii="Arial" w:hAnsi="Arial" w:cs="Arial"/>
            <w:b/>
            <w:sz w:val="24"/>
            <w:szCs w:val="24"/>
          </w:rPr>
          <w:t>dei servizi</w:t>
        </w:r>
      </w:smartTag>
      <w:r w:rsidRPr="009D5B09">
        <w:rPr>
          <w:rFonts w:ascii="Arial" w:hAnsi="Arial" w:cs="Arial"/>
          <w:b/>
          <w:sz w:val="24"/>
          <w:szCs w:val="24"/>
        </w:rPr>
        <w:t xml:space="preserve"> per l’impiego e le politiche per il lavoro;</w:t>
      </w:r>
    </w:p>
    <w:p w:rsidR="00E34315" w:rsidRPr="009D5B09" w:rsidRDefault="00E34315" w:rsidP="009D5B09">
      <w:pPr>
        <w:pStyle w:val="ListParagraph"/>
        <w:numPr>
          <w:ilvl w:val="0"/>
          <w:numId w:val="5"/>
        </w:numPr>
        <w:tabs>
          <w:tab w:val="clear" w:pos="1080"/>
          <w:tab w:val="num" w:pos="-4140"/>
        </w:tabs>
        <w:ind w:left="720"/>
        <w:jc w:val="both"/>
        <w:rPr>
          <w:rFonts w:ascii="Arial" w:hAnsi="Arial" w:cs="Arial"/>
          <w:b/>
          <w:sz w:val="24"/>
          <w:szCs w:val="24"/>
        </w:rPr>
      </w:pPr>
      <w:r w:rsidRPr="009D5B09">
        <w:rPr>
          <w:rFonts w:ascii="Arial" w:hAnsi="Arial" w:cs="Arial"/>
          <w:b/>
          <w:sz w:val="24"/>
          <w:szCs w:val="24"/>
        </w:rPr>
        <w:t>l’organizzazione e la gestione delle attività di formazione professionale;</w:t>
      </w:r>
    </w:p>
    <w:p w:rsidR="00E34315" w:rsidRPr="009D5B09" w:rsidRDefault="00E34315" w:rsidP="009D5B09">
      <w:pPr>
        <w:pStyle w:val="ListParagraph"/>
        <w:numPr>
          <w:ilvl w:val="0"/>
          <w:numId w:val="5"/>
        </w:numPr>
        <w:tabs>
          <w:tab w:val="clear" w:pos="1080"/>
          <w:tab w:val="num" w:pos="-4140"/>
        </w:tabs>
        <w:ind w:left="720"/>
        <w:jc w:val="both"/>
        <w:rPr>
          <w:rFonts w:ascii="Arial" w:hAnsi="Arial" w:cs="Arial"/>
          <w:b/>
          <w:sz w:val="24"/>
          <w:szCs w:val="24"/>
        </w:rPr>
      </w:pPr>
      <w:r w:rsidRPr="009D5B09">
        <w:rPr>
          <w:rFonts w:ascii="Arial" w:hAnsi="Arial" w:cs="Arial"/>
          <w:b/>
          <w:sz w:val="24"/>
          <w:szCs w:val="24"/>
        </w:rPr>
        <w:t>la gestione integrata degli interventi di difesa del suolo.</w:t>
      </w:r>
    </w:p>
    <w:p w:rsidR="00E34315" w:rsidRDefault="00E34315" w:rsidP="009D5B09">
      <w:pPr>
        <w:jc w:val="both"/>
        <w:rPr>
          <w:rFonts w:ascii="Arial" w:hAnsi="Arial" w:cs="Arial"/>
          <w:sz w:val="24"/>
          <w:szCs w:val="24"/>
        </w:rPr>
      </w:pPr>
      <w:r>
        <w:rPr>
          <w:rFonts w:ascii="Arial" w:hAnsi="Arial" w:cs="Arial"/>
          <w:sz w:val="24"/>
          <w:szCs w:val="24"/>
        </w:rPr>
        <w:t>Alle Province, inoltre, dovrebbero essere attribuite, secondo disposizioni delle leggi regionali, funzioni serventi i comuni di piccole dimensioni, nell’ambito della relativa circoscrizione provinciale, in base al principio di sussidiarietà, come per esempio quelle delle stazioni appaltanti dei contratti pubblici, delle centrali di acquisto di beni e servizi, degli uffici per i rapporti con il pubblico.</w:t>
      </w:r>
    </w:p>
    <w:p w:rsidR="00E34315" w:rsidRDefault="00E34315" w:rsidP="009D5B09">
      <w:pPr>
        <w:pStyle w:val="ListParagraph"/>
        <w:ind w:left="0"/>
        <w:jc w:val="both"/>
        <w:rPr>
          <w:rFonts w:ascii="Arial" w:hAnsi="Arial" w:cs="Arial"/>
          <w:sz w:val="24"/>
          <w:szCs w:val="24"/>
        </w:rPr>
      </w:pPr>
      <w:r>
        <w:rPr>
          <w:rFonts w:ascii="Arial" w:hAnsi="Arial" w:cs="Arial"/>
          <w:sz w:val="24"/>
          <w:szCs w:val="24"/>
        </w:rPr>
        <w:t xml:space="preserve">Nel ridisegno delle funzioni provinciali si dovrebbe tener conto in modo adeguato delle funzioni fondamentali riconosciute in capo ai Comuni per rendere coerente il processo di trasferimento delle risorse conseguente all’individuazione delle funzioni fondamentali. </w:t>
      </w:r>
      <w:r w:rsidRPr="00B141B1">
        <w:rPr>
          <w:rFonts w:ascii="Arial" w:hAnsi="Arial" w:cs="Arial"/>
          <w:sz w:val="24"/>
          <w:szCs w:val="24"/>
        </w:rPr>
        <w:t>Non a caso lo schema di decreto impone al Governo di procedere con DPCM al trasferimento delle funzioni provinciali non fondamentali conferite c</w:t>
      </w:r>
      <w:r>
        <w:rPr>
          <w:rFonts w:ascii="Arial" w:hAnsi="Arial" w:cs="Arial"/>
          <w:sz w:val="24"/>
          <w:szCs w:val="24"/>
        </w:rPr>
        <w:t>on legge dello Stato ai Comuni.</w:t>
      </w:r>
    </w:p>
    <w:p w:rsidR="00E34315" w:rsidRDefault="00E34315" w:rsidP="009D5B09">
      <w:pPr>
        <w:pStyle w:val="ListParagraph"/>
        <w:ind w:left="0"/>
        <w:jc w:val="both"/>
        <w:rPr>
          <w:rFonts w:ascii="Arial" w:hAnsi="Arial" w:cs="Arial"/>
          <w:sz w:val="24"/>
          <w:szCs w:val="24"/>
        </w:rPr>
      </w:pPr>
    </w:p>
    <w:p w:rsidR="00E34315" w:rsidRDefault="00E34315" w:rsidP="009D5B09">
      <w:pPr>
        <w:pStyle w:val="ListParagraph"/>
        <w:ind w:left="0"/>
        <w:jc w:val="both"/>
        <w:rPr>
          <w:rFonts w:ascii="Arial" w:hAnsi="Arial" w:cs="Arial"/>
          <w:sz w:val="24"/>
          <w:szCs w:val="24"/>
        </w:rPr>
      </w:pPr>
    </w:p>
    <w:p w:rsidR="00E34315" w:rsidRPr="00D91014" w:rsidRDefault="00E34315" w:rsidP="00D91014">
      <w:pPr>
        <w:pStyle w:val="ListParagraph"/>
        <w:numPr>
          <w:ilvl w:val="0"/>
          <w:numId w:val="2"/>
        </w:numPr>
        <w:rPr>
          <w:rFonts w:ascii="Arial" w:hAnsi="Arial" w:cs="Arial"/>
          <w:b/>
          <w:sz w:val="24"/>
          <w:szCs w:val="24"/>
          <w:u w:val="single"/>
        </w:rPr>
      </w:pPr>
      <w:r>
        <w:rPr>
          <w:rFonts w:ascii="Arial" w:hAnsi="Arial" w:cs="Arial"/>
          <w:b/>
          <w:sz w:val="24"/>
          <w:szCs w:val="24"/>
          <w:u w:val="single"/>
        </w:rPr>
        <w:t>C</w:t>
      </w:r>
      <w:r w:rsidRPr="00D91014">
        <w:rPr>
          <w:rFonts w:ascii="Arial" w:hAnsi="Arial" w:cs="Arial"/>
          <w:b/>
          <w:sz w:val="24"/>
          <w:szCs w:val="24"/>
          <w:u w:val="single"/>
        </w:rPr>
        <w:t>ittà Metropolitane</w:t>
      </w:r>
    </w:p>
    <w:p w:rsidR="00E34315" w:rsidRDefault="00E34315" w:rsidP="00C51B2A">
      <w:pPr>
        <w:jc w:val="both"/>
        <w:rPr>
          <w:rFonts w:ascii="Arial" w:hAnsi="Arial" w:cs="Arial"/>
          <w:sz w:val="24"/>
          <w:szCs w:val="24"/>
        </w:rPr>
      </w:pPr>
      <w:r w:rsidRPr="009C0930">
        <w:rPr>
          <w:rFonts w:ascii="Arial" w:hAnsi="Arial" w:cs="Arial"/>
          <w:sz w:val="24"/>
          <w:szCs w:val="24"/>
        </w:rPr>
        <w:t>Parallelamente al processo di razionalizzazione delle Province è prevista l’istituzione delle Città metropolitane nelle aree di Roma, Torino, Milano, Venezia, Genova, Bologna, Firenze, Bari, Napoli, Reggio Calabria, con soppressione delle Province che insistono in queste aree dal 1°</w:t>
      </w:r>
      <w:r>
        <w:rPr>
          <w:rFonts w:ascii="Arial" w:hAnsi="Arial" w:cs="Arial"/>
          <w:sz w:val="24"/>
          <w:szCs w:val="24"/>
        </w:rPr>
        <w:t xml:space="preserve"> gennaio 2014 (</w:t>
      </w:r>
      <w:r w:rsidRPr="002C09B8">
        <w:rPr>
          <w:rFonts w:ascii="Arial" w:hAnsi="Arial" w:cs="Arial"/>
          <w:sz w:val="24"/>
          <w:szCs w:val="24"/>
          <w:u w:val="single"/>
        </w:rPr>
        <w:t>art. 18</w:t>
      </w:r>
      <w:r>
        <w:rPr>
          <w:rFonts w:ascii="Arial" w:hAnsi="Arial" w:cs="Arial"/>
          <w:sz w:val="24"/>
          <w:szCs w:val="24"/>
        </w:rPr>
        <w:t>)</w:t>
      </w:r>
      <w:r w:rsidRPr="009C0930">
        <w:rPr>
          <w:rFonts w:ascii="Arial" w:hAnsi="Arial" w:cs="Arial"/>
          <w:sz w:val="24"/>
          <w:szCs w:val="24"/>
        </w:rPr>
        <w:t>.</w:t>
      </w:r>
    </w:p>
    <w:p w:rsidR="00E34315" w:rsidRPr="009C0930" w:rsidRDefault="00E34315" w:rsidP="00C51B2A">
      <w:pPr>
        <w:jc w:val="both"/>
        <w:rPr>
          <w:rFonts w:ascii="Arial" w:hAnsi="Arial" w:cs="Arial"/>
          <w:sz w:val="24"/>
          <w:szCs w:val="24"/>
        </w:rPr>
      </w:pPr>
      <w:r w:rsidRPr="009C0930">
        <w:rPr>
          <w:rFonts w:ascii="Arial" w:hAnsi="Arial" w:cs="Arial"/>
          <w:sz w:val="24"/>
          <w:szCs w:val="24"/>
        </w:rPr>
        <w:t>Sono perciò abrogate tutte le norme che fino ad ora hanno regolato la materia e sono fatte salve le previsioni autonome delle Regioni a statuto speciale sulle città metropolitane</w:t>
      </w:r>
      <w:r>
        <w:rPr>
          <w:rFonts w:ascii="Arial" w:hAnsi="Arial" w:cs="Arial"/>
          <w:sz w:val="24"/>
          <w:szCs w:val="24"/>
        </w:rPr>
        <w:t xml:space="preserve">, mentre </w:t>
      </w:r>
      <w:r w:rsidRPr="00762F62">
        <w:rPr>
          <w:rFonts w:ascii="Arial" w:hAnsi="Arial" w:cs="Arial"/>
          <w:b/>
          <w:sz w:val="24"/>
          <w:szCs w:val="24"/>
        </w:rPr>
        <w:t>non sono previste disposizioni particolari per il coordinamento della normativa sulle città metropolitane e la normativa sulla capitale della Repubblica</w:t>
      </w:r>
      <w:r w:rsidRPr="009C0930">
        <w:rPr>
          <w:rFonts w:ascii="Arial" w:hAnsi="Arial" w:cs="Arial"/>
          <w:sz w:val="24"/>
          <w:szCs w:val="24"/>
        </w:rPr>
        <w:t>.</w:t>
      </w:r>
    </w:p>
    <w:p w:rsidR="00E34315" w:rsidRDefault="00E34315" w:rsidP="00C51B2A">
      <w:pPr>
        <w:jc w:val="both"/>
        <w:rPr>
          <w:rFonts w:ascii="Arial" w:hAnsi="Arial" w:cs="Arial"/>
          <w:sz w:val="24"/>
          <w:szCs w:val="24"/>
        </w:rPr>
      </w:pPr>
      <w:r w:rsidRPr="00960244">
        <w:rPr>
          <w:rFonts w:ascii="Arial" w:hAnsi="Arial" w:cs="Arial"/>
          <w:sz w:val="24"/>
          <w:szCs w:val="24"/>
        </w:rPr>
        <w:t>L’articolo sulle città metropolitane pr</w:t>
      </w:r>
      <w:r>
        <w:rPr>
          <w:rFonts w:ascii="Arial" w:hAnsi="Arial" w:cs="Arial"/>
          <w:sz w:val="24"/>
          <w:szCs w:val="24"/>
        </w:rPr>
        <w:t>esenta diverse criticità.</w:t>
      </w:r>
      <w:r w:rsidRPr="00960244">
        <w:rPr>
          <w:rFonts w:ascii="Arial" w:hAnsi="Arial" w:cs="Arial"/>
          <w:sz w:val="24"/>
          <w:szCs w:val="24"/>
        </w:rPr>
        <w:t xml:space="preserve"> </w:t>
      </w:r>
    </w:p>
    <w:p w:rsidR="00E34315" w:rsidRPr="00DB4CE8" w:rsidRDefault="00E34315" w:rsidP="002D0BBF">
      <w:pPr>
        <w:pStyle w:val="ListParagraph"/>
        <w:numPr>
          <w:ilvl w:val="0"/>
          <w:numId w:val="6"/>
        </w:numPr>
        <w:jc w:val="both"/>
        <w:rPr>
          <w:rFonts w:ascii="Arial" w:hAnsi="Arial" w:cs="Arial"/>
          <w:sz w:val="24"/>
          <w:szCs w:val="24"/>
        </w:rPr>
      </w:pPr>
      <w:r w:rsidRPr="00762F62">
        <w:rPr>
          <w:rFonts w:ascii="Arial" w:hAnsi="Arial" w:cs="Arial"/>
          <w:b/>
          <w:sz w:val="24"/>
          <w:szCs w:val="24"/>
        </w:rPr>
        <w:t>Impone per decreto la decadenza anticipata (vedi tabella seguente)  degli organi di governo delle Province</w:t>
      </w:r>
      <w:r>
        <w:rPr>
          <w:rFonts w:ascii="Arial" w:hAnsi="Arial" w:cs="Arial"/>
          <w:sz w:val="24"/>
          <w:szCs w:val="24"/>
        </w:rPr>
        <w:t xml:space="preserve">. </w:t>
      </w:r>
    </w:p>
    <w:tbl>
      <w:tblPr>
        <w:tblW w:w="896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041"/>
        <w:gridCol w:w="2662"/>
      </w:tblGrid>
      <w:tr w:rsidR="00E34315" w:rsidRPr="00977082" w:rsidTr="002D0BBF">
        <w:tc>
          <w:tcPr>
            <w:tcW w:w="3259" w:type="dxa"/>
            <w:shd w:val="clear" w:color="auto" w:fill="CCFFFF"/>
          </w:tcPr>
          <w:p w:rsidR="00E34315" w:rsidRPr="00977082" w:rsidRDefault="00E34315" w:rsidP="00977082">
            <w:pPr>
              <w:spacing w:after="0" w:line="240" w:lineRule="auto"/>
              <w:jc w:val="center"/>
              <w:rPr>
                <w:b/>
                <w:i/>
                <w:sz w:val="28"/>
                <w:szCs w:val="28"/>
              </w:rPr>
            </w:pPr>
            <w:r w:rsidRPr="00977082">
              <w:rPr>
                <w:b/>
                <w:i/>
                <w:sz w:val="28"/>
                <w:szCs w:val="28"/>
              </w:rPr>
              <w:t>Area metropolitana</w:t>
            </w:r>
          </w:p>
        </w:tc>
        <w:tc>
          <w:tcPr>
            <w:tcW w:w="3041" w:type="dxa"/>
            <w:shd w:val="clear" w:color="auto" w:fill="CCFFFF"/>
          </w:tcPr>
          <w:p w:rsidR="00E34315" w:rsidRPr="00977082" w:rsidRDefault="00E34315" w:rsidP="00977082">
            <w:pPr>
              <w:spacing w:after="0" w:line="240" w:lineRule="auto"/>
              <w:jc w:val="center"/>
              <w:rPr>
                <w:b/>
                <w:i/>
                <w:sz w:val="28"/>
                <w:szCs w:val="28"/>
              </w:rPr>
            </w:pPr>
            <w:r w:rsidRPr="00977082">
              <w:rPr>
                <w:b/>
                <w:i/>
                <w:sz w:val="28"/>
                <w:szCs w:val="28"/>
              </w:rPr>
              <w:t>Comune</w:t>
            </w:r>
          </w:p>
        </w:tc>
        <w:tc>
          <w:tcPr>
            <w:tcW w:w="2662" w:type="dxa"/>
            <w:shd w:val="clear" w:color="auto" w:fill="CCFFFF"/>
          </w:tcPr>
          <w:p w:rsidR="00E34315" w:rsidRPr="00977082" w:rsidRDefault="00E34315" w:rsidP="00977082">
            <w:pPr>
              <w:spacing w:after="0" w:line="240" w:lineRule="auto"/>
              <w:jc w:val="center"/>
              <w:rPr>
                <w:b/>
                <w:i/>
                <w:sz w:val="28"/>
                <w:szCs w:val="28"/>
              </w:rPr>
            </w:pPr>
            <w:r w:rsidRPr="00977082">
              <w:rPr>
                <w:b/>
                <w:i/>
                <w:sz w:val="28"/>
                <w:szCs w:val="28"/>
              </w:rPr>
              <w:t>Provincia</w:t>
            </w:r>
          </w:p>
        </w:tc>
      </w:tr>
      <w:tr w:rsidR="00E34315" w:rsidRPr="00977082" w:rsidTr="002D0BBF">
        <w:tc>
          <w:tcPr>
            <w:tcW w:w="3259" w:type="dxa"/>
          </w:tcPr>
          <w:p w:rsidR="00E34315" w:rsidRPr="00977082" w:rsidRDefault="00E34315" w:rsidP="00977082">
            <w:pPr>
              <w:spacing w:after="0" w:line="240" w:lineRule="auto"/>
              <w:jc w:val="center"/>
              <w:rPr>
                <w:b/>
                <w:sz w:val="28"/>
                <w:szCs w:val="28"/>
              </w:rPr>
            </w:pPr>
            <w:r w:rsidRPr="00977082">
              <w:rPr>
                <w:b/>
                <w:sz w:val="28"/>
                <w:szCs w:val="28"/>
              </w:rPr>
              <w:t>Roma</w:t>
            </w:r>
          </w:p>
        </w:tc>
        <w:tc>
          <w:tcPr>
            <w:tcW w:w="3041" w:type="dxa"/>
          </w:tcPr>
          <w:p w:rsidR="00E34315" w:rsidRPr="00977082" w:rsidRDefault="00E34315" w:rsidP="00977082">
            <w:pPr>
              <w:spacing w:after="0" w:line="240" w:lineRule="auto"/>
              <w:jc w:val="center"/>
              <w:rPr>
                <w:b/>
                <w:sz w:val="28"/>
                <w:szCs w:val="28"/>
              </w:rPr>
            </w:pPr>
            <w:r w:rsidRPr="00977082">
              <w:rPr>
                <w:b/>
                <w:sz w:val="28"/>
                <w:szCs w:val="28"/>
              </w:rPr>
              <w:t>2013</w:t>
            </w:r>
          </w:p>
        </w:tc>
        <w:tc>
          <w:tcPr>
            <w:tcW w:w="2662" w:type="dxa"/>
          </w:tcPr>
          <w:p w:rsidR="00E34315" w:rsidRPr="00977082" w:rsidRDefault="00E34315" w:rsidP="00977082">
            <w:pPr>
              <w:spacing w:after="0" w:line="240" w:lineRule="auto"/>
              <w:jc w:val="center"/>
              <w:rPr>
                <w:b/>
                <w:sz w:val="28"/>
                <w:szCs w:val="28"/>
              </w:rPr>
            </w:pPr>
            <w:r w:rsidRPr="00977082">
              <w:rPr>
                <w:b/>
                <w:sz w:val="28"/>
                <w:szCs w:val="28"/>
              </w:rPr>
              <w:t>2013</w:t>
            </w:r>
          </w:p>
        </w:tc>
      </w:tr>
      <w:tr w:rsidR="00E34315" w:rsidRPr="00977082" w:rsidTr="002D0BBF">
        <w:tc>
          <w:tcPr>
            <w:tcW w:w="3259" w:type="dxa"/>
          </w:tcPr>
          <w:p w:rsidR="00E34315" w:rsidRPr="00977082" w:rsidRDefault="00E34315" w:rsidP="00977082">
            <w:pPr>
              <w:spacing w:after="0" w:line="240" w:lineRule="auto"/>
              <w:jc w:val="center"/>
              <w:rPr>
                <w:b/>
                <w:sz w:val="28"/>
                <w:szCs w:val="28"/>
              </w:rPr>
            </w:pPr>
            <w:r w:rsidRPr="00977082">
              <w:rPr>
                <w:b/>
                <w:sz w:val="28"/>
                <w:szCs w:val="28"/>
              </w:rPr>
              <w:t>Milano</w:t>
            </w:r>
          </w:p>
        </w:tc>
        <w:tc>
          <w:tcPr>
            <w:tcW w:w="3041" w:type="dxa"/>
          </w:tcPr>
          <w:p w:rsidR="00E34315" w:rsidRPr="00977082" w:rsidRDefault="00E34315" w:rsidP="00977082">
            <w:pPr>
              <w:spacing w:after="0" w:line="240" w:lineRule="auto"/>
              <w:jc w:val="center"/>
              <w:rPr>
                <w:b/>
                <w:sz w:val="28"/>
                <w:szCs w:val="28"/>
              </w:rPr>
            </w:pPr>
            <w:r w:rsidRPr="00977082">
              <w:rPr>
                <w:b/>
                <w:sz w:val="28"/>
                <w:szCs w:val="28"/>
              </w:rPr>
              <w:t>2016</w:t>
            </w:r>
          </w:p>
        </w:tc>
        <w:tc>
          <w:tcPr>
            <w:tcW w:w="2662" w:type="dxa"/>
          </w:tcPr>
          <w:p w:rsidR="00E34315" w:rsidRPr="00977082" w:rsidRDefault="00E34315" w:rsidP="00977082">
            <w:pPr>
              <w:spacing w:after="0" w:line="240" w:lineRule="auto"/>
              <w:jc w:val="center"/>
              <w:rPr>
                <w:b/>
                <w:sz w:val="28"/>
                <w:szCs w:val="28"/>
              </w:rPr>
            </w:pPr>
            <w:r w:rsidRPr="00977082">
              <w:rPr>
                <w:b/>
                <w:sz w:val="28"/>
                <w:szCs w:val="28"/>
              </w:rPr>
              <w:t>2014</w:t>
            </w:r>
          </w:p>
        </w:tc>
      </w:tr>
      <w:tr w:rsidR="00E34315" w:rsidRPr="00977082" w:rsidTr="002D0BBF">
        <w:tc>
          <w:tcPr>
            <w:tcW w:w="3259" w:type="dxa"/>
          </w:tcPr>
          <w:p w:rsidR="00E34315" w:rsidRPr="00977082" w:rsidRDefault="00E34315" w:rsidP="00977082">
            <w:pPr>
              <w:spacing w:after="0" w:line="240" w:lineRule="auto"/>
              <w:jc w:val="center"/>
              <w:rPr>
                <w:b/>
                <w:sz w:val="28"/>
                <w:szCs w:val="28"/>
              </w:rPr>
            </w:pPr>
            <w:r w:rsidRPr="00977082">
              <w:rPr>
                <w:b/>
                <w:sz w:val="28"/>
                <w:szCs w:val="28"/>
              </w:rPr>
              <w:t>Torino</w:t>
            </w:r>
          </w:p>
        </w:tc>
        <w:tc>
          <w:tcPr>
            <w:tcW w:w="3041" w:type="dxa"/>
          </w:tcPr>
          <w:p w:rsidR="00E34315" w:rsidRPr="00977082" w:rsidRDefault="00E34315" w:rsidP="00977082">
            <w:pPr>
              <w:spacing w:after="0" w:line="240" w:lineRule="auto"/>
              <w:jc w:val="center"/>
              <w:rPr>
                <w:b/>
                <w:sz w:val="28"/>
                <w:szCs w:val="28"/>
              </w:rPr>
            </w:pPr>
            <w:r w:rsidRPr="00977082">
              <w:rPr>
                <w:b/>
                <w:sz w:val="28"/>
                <w:szCs w:val="28"/>
              </w:rPr>
              <w:t>2016</w:t>
            </w:r>
          </w:p>
        </w:tc>
        <w:tc>
          <w:tcPr>
            <w:tcW w:w="2662" w:type="dxa"/>
          </w:tcPr>
          <w:p w:rsidR="00E34315" w:rsidRPr="00977082" w:rsidRDefault="00E34315" w:rsidP="00977082">
            <w:pPr>
              <w:spacing w:after="0" w:line="240" w:lineRule="auto"/>
              <w:jc w:val="center"/>
              <w:rPr>
                <w:b/>
                <w:sz w:val="28"/>
                <w:szCs w:val="28"/>
              </w:rPr>
            </w:pPr>
            <w:r w:rsidRPr="00977082">
              <w:rPr>
                <w:b/>
                <w:sz w:val="28"/>
                <w:szCs w:val="28"/>
              </w:rPr>
              <w:t>2014</w:t>
            </w:r>
          </w:p>
        </w:tc>
      </w:tr>
      <w:tr w:rsidR="00E34315" w:rsidRPr="00977082" w:rsidTr="002D0BBF">
        <w:tc>
          <w:tcPr>
            <w:tcW w:w="3259" w:type="dxa"/>
          </w:tcPr>
          <w:p w:rsidR="00E34315" w:rsidRPr="00977082" w:rsidRDefault="00E34315" w:rsidP="00977082">
            <w:pPr>
              <w:spacing w:after="0" w:line="240" w:lineRule="auto"/>
              <w:jc w:val="center"/>
              <w:rPr>
                <w:b/>
                <w:sz w:val="28"/>
                <w:szCs w:val="28"/>
              </w:rPr>
            </w:pPr>
            <w:r w:rsidRPr="00977082">
              <w:rPr>
                <w:b/>
                <w:sz w:val="28"/>
                <w:szCs w:val="28"/>
              </w:rPr>
              <w:t>Genova</w:t>
            </w:r>
          </w:p>
        </w:tc>
        <w:tc>
          <w:tcPr>
            <w:tcW w:w="3041" w:type="dxa"/>
          </w:tcPr>
          <w:p w:rsidR="00E34315" w:rsidRPr="00977082" w:rsidRDefault="00E34315" w:rsidP="00977082">
            <w:pPr>
              <w:spacing w:after="0" w:line="240" w:lineRule="auto"/>
              <w:jc w:val="center"/>
              <w:rPr>
                <w:b/>
                <w:sz w:val="28"/>
                <w:szCs w:val="28"/>
              </w:rPr>
            </w:pPr>
            <w:r w:rsidRPr="00977082">
              <w:rPr>
                <w:b/>
                <w:sz w:val="28"/>
                <w:szCs w:val="28"/>
              </w:rPr>
              <w:t>2017</w:t>
            </w:r>
          </w:p>
        </w:tc>
        <w:tc>
          <w:tcPr>
            <w:tcW w:w="2662" w:type="dxa"/>
          </w:tcPr>
          <w:p w:rsidR="00E34315" w:rsidRPr="00977082" w:rsidRDefault="00E34315" w:rsidP="00977082">
            <w:pPr>
              <w:spacing w:after="0" w:line="240" w:lineRule="auto"/>
              <w:jc w:val="center"/>
              <w:rPr>
                <w:b/>
                <w:sz w:val="28"/>
                <w:szCs w:val="28"/>
              </w:rPr>
            </w:pPr>
            <w:r w:rsidRPr="00977082">
              <w:rPr>
                <w:b/>
                <w:sz w:val="28"/>
                <w:szCs w:val="28"/>
              </w:rPr>
              <w:t>Commissariata</w:t>
            </w:r>
          </w:p>
        </w:tc>
      </w:tr>
      <w:tr w:rsidR="00E34315" w:rsidRPr="00977082" w:rsidTr="002D0BBF">
        <w:tc>
          <w:tcPr>
            <w:tcW w:w="3259" w:type="dxa"/>
          </w:tcPr>
          <w:p w:rsidR="00E34315" w:rsidRPr="00977082" w:rsidRDefault="00E34315" w:rsidP="00977082">
            <w:pPr>
              <w:spacing w:after="0" w:line="240" w:lineRule="auto"/>
              <w:jc w:val="center"/>
              <w:rPr>
                <w:b/>
                <w:sz w:val="28"/>
                <w:szCs w:val="28"/>
              </w:rPr>
            </w:pPr>
            <w:r w:rsidRPr="00977082">
              <w:rPr>
                <w:b/>
                <w:sz w:val="28"/>
                <w:szCs w:val="28"/>
              </w:rPr>
              <w:t>Venezia</w:t>
            </w:r>
          </w:p>
        </w:tc>
        <w:tc>
          <w:tcPr>
            <w:tcW w:w="3041" w:type="dxa"/>
          </w:tcPr>
          <w:p w:rsidR="00E34315" w:rsidRPr="00977082" w:rsidRDefault="00E34315" w:rsidP="00977082">
            <w:pPr>
              <w:spacing w:after="0" w:line="240" w:lineRule="auto"/>
              <w:jc w:val="center"/>
              <w:rPr>
                <w:b/>
                <w:sz w:val="28"/>
                <w:szCs w:val="28"/>
              </w:rPr>
            </w:pPr>
            <w:r w:rsidRPr="00977082">
              <w:rPr>
                <w:b/>
                <w:sz w:val="28"/>
                <w:szCs w:val="28"/>
              </w:rPr>
              <w:t>2015</w:t>
            </w:r>
          </w:p>
        </w:tc>
        <w:tc>
          <w:tcPr>
            <w:tcW w:w="2662" w:type="dxa"/>
          </w:tcPr>
          <w:p w:rsidR="00E34315" w:rsidRPr="00977082" w:rsidRDefault="00E34315" w:rsidP="00977082">
            <w:pPr>
              <w:spacing w:after="0" w:line="240" w:lineRule="auto"/>
              <w:jc w:val="center"/>
              <w:rPr>
                <w:b/>
                <w:sz w:val="28"/>
                <w:szCs w:val="28"/>
              </w:rPr>
            </w:pPr>
            <w:r w:rsidRPr="00977082">
              <w:rPr>
                <w:b/>
                <w:sz w:val="28"/>
                <w:szCs w:val="28"/>
              </w:rPr>
              <w:t>2014</w:t>
            </w:r>
          </w:p>
        </w:tc>
      </w:tr>
      <w:tr w:rsidR="00E34315" w:rsidRPr="00977082" w:rsidTr="002D0BBF">
        <w:tc>
          <w:tcPr>
            <w:tcW w:w="3259" w:type="dxa"/>
          </w:tcPr>
          <w:p w:rsidR="00E34315" w:rsidRPr="00977082" w:rsidRDefault="00E34315" w:rsidP="00977082">
            <w:pPr>
              <w:spacing w:after="0" w:line="240" w:lineRule="auto"/>
              <w:jc w:val="center"/>
              <w:rPr>
                <w:b/>
                <w:sz w:val="28"/>
                <w:szCs w:val="28"/>
              </w:rPr>
            </w:pPr>
            <w:r w:rsidRPr="00977082">
              <w:rPr>
                <w:b/>
                <w:sz w:val="28"/>
                <w:szCs w:val="28"/>
              </w:rPr>
              <w:t>Bologna</w:t>
            </w:r>
          </w:p>
        </w:tc>
        <w:tc>
          <w:tcPr>
            <w:tcW w:w="3041" w:type="dxa"/>
          </w:tcPr>
          <w:p w:rsidR="00E34315" w:rsidRPr="00977082" w:rsidRDefault="00E34315" w:rsidP="00977082">
            <w:pPr>
              <w:spacing w:after="0" w:line="240" w:lineRule="auto"/>
              <w:jc w:val="center"/>
              <w:rPr>
                <w:b/>
                <w:sz w:val="28"/>
                <w:szCs w:val="28"/>
              </w:rPr>
            </w:pPr>
            <w:r w:rsidRPr="00977082">
              <w:rPr>
                <w:b/>
                <w:sz w:val="28"/>
                <w:szCs w:val="28"/>
              </w:rPr>
              <w:t>2016</w:t>
            </w:r>
          </w:p>
        </w:tc>
        <w:tc>
          <w:tcPr>
            <w:tcW w:w="2662" w:type="dxa"/>
          </w:tcPr>
          <w:p w:rsidR="00E34315" w:rsidRPr="00977082" w:rsidRDefault="00E34315" w:rsidP="00977082">
            <w:pPr>
              <w:spacing w:after="0" w:line="240" w:lineRule="auto"/>
              <w:jc w:val="center"/>
              <w:rPr>
                <w:b/>
                <w:sz w:val="28"/>
                <w:szCs w:val="28"/>
              </w:rPr>
            </w:pPr>
            <w:r w:rsidRPr="00977082">
              <w:rPr>
                <w:b/>
                <w:sz w:val="28"/>
                <w:szCs w:val="28"/>
              </w:rPr>
              <w:t>2014</w:t>
            </w:r>
          </w:p>
        </w:tc>
      </w:tr>
      <w:tr w:rsidR="00E34315" w:rsidRPr="00977082" w:rsidTr="002D0BBF">
        <w:tc>
          <w:tcPr>
            <w:tcW w:w="3259" w:type="dxa"/>
          </w:tcPr>
          <w:p w:rsidR="00E34315" w:rsidRPr="00977082" w:rsidRDefault="00E34315" w:rsidP="00977082">
            <w:pPr>
              <w:spacing w:after="0" w:line="240" w:lineRule="auto"/>
              <w:jc w:val="center"/>
              <w:rPr>
                <w:b/>
                <w:sz w:val="28"/>
                <w:szCs w:val="28"/>
              </w:rPr>
            </w:pPr>
            <w:r w:rsidRPr="00977082">
              <w:rPr>
                <w:b/>
                <w:sz w:val="28"/>
                <w:szCs w:val="28"/>
              </w:rPr>
              <w:t>Firenze</w:t>
            </w:r>
          </w:p>
        </w:tc>
        <w:tc>
          <w:tcPr>
            <w:tcW w:w="3041" w:type="dxa"/>
          </w:tcPr>
          <w:p w:rsidR="00E34315" w:rsidRPr="00977082" w:rsidRDefault="00E34315" w:rsidP="00977082">
            <w:pPr>
              <w:spacing w:after="0" w:line="240" w:lineRule="auto"/>
              <w:jc w:val="center"/>
              <w:rPr>
                <w:b/>
                <w:sz w:val="28"/>
                <w:szCs w:val="28"/>
              </w:rPr>
            </w:pPr>
            <w:r w:rsidRPr="00977082">
              <w:rPr>
                <w:b/>
                <w:sz w:val="28"/>
                <w:szCs w:val="28"/>
              </w:rPr>
              <w:t>2014</w:t>
            </w:r>
          </w:p>
        </w:tc>
        <w:tc>
          <w:tcPr>
            <w:tcW w:w="2662" w:type="dxa"/>
          </w:tcPr>
          <w:p w:rsidR="00E34315" w:rsidRPr="00977082" w:rsidRDefault="00E34315" w:rsidP="00977082">
            <w:pPr>
              <w:spacing w:after="0" w:line="240" w:lineRule="auto"/>
              <w:jc w:val="center"/>
              <w:rPr>
                <w:b/>
                <w:sz w:val="28"/>
                <w:szCs w:val="28"/>
              </w:rPr>
            </w:pPr>
            <w:r w:rsidRPr="00977082">
              <w:rPr>
                <w:b/>
                <w:sz w:val="28"/>
                <w:szCs w:val="28"/>
              </w:rPr>
              <w:t>2014</w:t>
            </w:r>
          </w:p>
        </w:tc>
      </w:tr>
      <w:tr w:rsidR="00E34315" w:rsidRPr="00977082" w:rsidTr="002D0BBF">
        <w:tc>
          <w:tcPr>
            <w:tcW w:w="3259" w:type="dxa"/>
          </w:tcPr>
          <w:p w:rsidR="00E34315" w:rsidRPr="00977082" w:rsidRDefault="00E34315" w:rsidP="00977082">
            <w:pPr>
              <w:spacing w:after="0" w:line="240" w:lineRule="auto"/>
              <w:jc w:val="center"/>
              <w:rPr>
                <w:b/>
                <w:sz w:val="28"/>
                <w:szCs w:val="28"/>
              </w:rPr>
            </w:pPr>
            <w:r w:rsidRPr="00977082">
              <w:rPr>
                <w:b/>
                <w:sz w:val="28"/>
                <w:szCs w:val="28"/>
              </w:rPr>
              <w:t>Napoli</w:t>
            </w:r>
          </w:p>
        </w:tc>
        <w:tc>
          <w:tcPr>
            <w:tcW w:w="3041" w:type="dxa"/>
          </w:tcPr>
          <w:p w:rsidR="00E34315" w:rsidRPr="00977082" w:rsidRDefault="00E34315" w:rsidP="00977082">
            <w:pPr>
              <w:spacing w:after="0" w:line="240" w:lineRule="auto"/>
              <w:jc w:val="center"/>
              <w:rPr>
                <w:b/>
                <w:sz w:val="28"/>
                <w:szCs w:val="28"/>
              </w:rPr>
            </w:pPr>
            <w:r w:rsidRPr="00977082">
              <w:rPr>
                <w:b/>
                <w:sz w:val="28"/>
                <w:szCs w:val="28"/>
              </w:rPr>
              <w:t>2016</w:t>
            </w:r>
          </w:p>
        </w:tc>
        <w:tc>
          <w:tcPr>
            <w:tcW w:w="2662" w:type="dxa"/>
          </w:tcPr>
          <w:p w:rsidR="00E34315" w:rsidRPr="00977082" w:rsidRDefault="00E34315" w:rsidP="00977082">
            <w:pPr>
              <w:spacing w:after="0" w:line="240" w:lineRule="auto"/>
              <w:jc w:val="center"/>
              <w:rPr>
                <w:b/>
                <w:sz w:val="28"/>
                <w:szCs w:val="28"/>
              </w:rPr>
            </w:pPr>
            <w:r w:rsidRPr="00977082">
              <w:rPr>
                <w:b/>
                <w:sz w:val="28"/>
                <w:szCs w:val="28"/>
              </w:rPr>
              <w:t>2014</w:t>
            </w:r>
          </w:p>
        </w:tc>
      </w:tr>
      <w:tr w:rsidR="00E34315" w:rsidRPr="00977082" w:rsidTr="002D0BBF">
        <w:tc>
          <w:tcPr>
            <w:tcW w:w="3259" w:type="dxa"/>
          </w:tcPr>
          <w:p w:rsidR="00E34315" w:rsidRPr="00977082" w:rsidRDefault="00E34315" w:rsidP="00977082">
            <w:pPr>
              <w:spacing w:after="0" w:line="240" w:lineRule="auto"/>
              <w:jc w:val="center"/>
              <w:rPr>
                <w:b/>
                <w:sz w:val="28"/>
                <w:szCs w:val="28"/>
              </w:rPr>
            </w:pPr>
            <w:r w:rsidRPr="00977082">
              <w:rPr>
                <w:b/>
                <w:sz w:val="28"/>
                <w:szCs w:val="28"/>
              </w:rPr>
              <w:t>Bari</w:t>
            </w:r>
          </w:p>
        </w:tc>
        <w:tc>
          <w:tcPr>
            <w:tcW w:w="3041" w:type="dxa"/>
          </w:tcPr>
          <w:p w:rsidR="00E34315" w:rsidRPr="00977082" w:rsidRDefault="00E34315" w:rsidP="00977082">
            <w:pPr>
              <w:spacing w:after="0" w:line="240" w:lineRule="auto"/>
              <w:jc w:val="center"/>
              <w:rPr>
                <w:b/>
                <w:sz w:val="28"/>
                <w:szCs w:val="28"/>
              </w:rPr>
            </w:pPr>
            <w:r w:rsidRPr="00977082">
              <w:rPr>
                <w:b/>
                <w:sz w:val="28"/>
                <w:szCs w:val="28"/>
              </w:rPr>
              <w:t>2017</w:t>
            </w:r>
          </w:p>
        </w:tc>
        <w:tc>
          <w:tcPr>
            <w:tcW w:w="2662" w:type="dxa"/>
          </w:tcPr>
          <w:p w:rsidR="00E34315" w:rsidRPr="00977082" w:rsidRDefault="00E34315" w:rsidP="00977082">
            <w:pPr>
              <w:spacing w:after="0" w:line="240" w:lineRule="auto"/>
              <w:jc w:val="center"/>
              <w:rPr>
                <w:b/>
                <w:sz w:val="28"/>
                <w:szCs w:val="28"/>
              </w:rPr>
            </w:pPr>
            <w:r w:rsidRPr="00977082">
              <w:rPr>
                <w:b/>
                <w:sz w:val="28"/>
                <w:szCs w:val="28"/>
              </w:rPr>
              <w:t>2014</w:t>
            </w:r>
          </w:p>
        </w:tc>
      </w:tr>
      <w:tr w:rsidR="00E34315" w:rsidRPr="00977082" w:rsidTr="002D0BBF">
        <w:tc>
          <w:tcPr>
            <w:tcW w:w="3259" w:type="dxa"/>
          </w:tcPr>
          <w:p w:rsidR="00E34315" w:rsidRPr="00977082" w:rsidRDefault="00E34315" w:rsidP="00977082">
            <w:pPr>
              <w:spacing w:after="0" w:line="240" w:lineRule="auto"/>
              <w:jc w:val="center"/>
              <w:rPr>
                <w:b/>
                <w:sz w:val="28"/>
                <w:szCs w:val="28"/>
              </w:rPr>
            </w:pPr>
            <w:r w:rsidRPr="00977082">
              <w:rPr>
                <w:b/>
                <w:sz w:val="28"/>
                <w:szCs w:val="28"/>
              </w:rPr>
              <w:t>Reggio Calabria</w:t>
            </w:r>
          </w:p>
        </w:tc>
        <w:tc>
          <w:tcPr>
            <w:tcW w:w="3041" w:type="dxa"/>
          </w:tcPr>
          <w:p w:rsidR="00E34315" w:rsidRPr="00977082" w:rsidRDefault="00E34315" w:rsidP="00977082">
            <w:pPr>
              <w:spacing w:after="0" w:line="240" w:lineRule="auto"/>
              <w:jc w:val="center"/>
              <w:rPr>
                <w:b/>
                <w:sz w:val="28"/>
                <w:szCs w:val="28"/>
              </w:rPr>
            </w:pPr>
            <w:r w:rsidRPr="00977082">
              <w:rPr>
                <w:b/>
                <w:sz w:val="28"/>
                <w:szCs w:val="28"/>
              </w:rPr>
              <w:t>2016</w:t>
            </w:r>
          </w:p>
        </w:tc>
        <w:tc>
          <w:tcPr>
            <w:tcW w:w="2662" w:type="dxa"/>
          </w:tcPr>
          <w:p w:rsidR="00E34315" w:rsidRPr="00977082" w:rsidRDefault="00E34315" w:rsidP="00977082">
            <w:pPr>
              <w:spacing w:after="0" w:line="240" w:lineRule="auto"/>
              <w:jc w:val="center"/>
              <w:rPr>
                <w:b/>
                <w:sz w:val="28"/>
                <w:szCs w:val="28"/>
              </w:rPr>
            </w:pPr>
            <w:r w:rsidRPr="00977082">
              <w:rPr>
                <w:b/>
                <w:sz w:val="28"/>
                <w:szCs w:val="28"/>
              </w:rPr>
              <w:t>2016</w:t>
            </w:r>
          </w:p>
        </w:tc>
      </w:tr>
    </w:tbl>
    <w:p w:rsidR="00E34315" w:rsidRDefault="00E34315" w:rsidP="00DB4CE8">
      <w:pPr>
        <w:pStyle w:val="ListParagraph"/>
        <w:jc w:val="both"/>
        <w:rPr>
          <w:rFonts w:ascii="Arial" w:hAnsi="Arial" w:cs="Arial"/>
          <w:sz w:val="24"/>
          <w:szCs w:val="24"/>
        </w:rPr>
      </w:pPr>
    </w:p>
    <w:p w:rsidR="00E34315" w:rsidRDefault="00E34315" w:rsidP="002D0BBF">
      <w:pPr>
        <w:pStyle w:val="ListParagraph"/>
        <w:jc w:val="both"/>
        <w:rPr>
          <w:rFonts w:ascii="Arial" w:hAnsi="Arial" w:cs="Arial"/>
          <w:b/>
          <w:sz w:val="24"/>
          <w:szCs w:val="24"/>
        </w:rPr>
      </w:pPr>
      <w:r w:rsidRPr="002D0BBF">
        <w:rPr>
          <w:rFonts w:ascii="Arial" w:hAnsi="Arial" w:cs="Arial"/>
          <w:b/>
          <w:sz w:val="24"/>
          <w:szCs w:val="24"/>
        </w:rPr>
        <w:t>La durata in carica dei mandati elettivi degli organi di governo delle Province</w:t>
      </w:r>
      <w:r w:rsidRPr="002D0BBF">
        <w:rPr>
          <w:rFonts w:ascii="Arial" w:hAnsi="Arial" w:cs="Arial"/>
          <w:sz w:val="24"/>
          <w:szCs w:val="24"/>
        </w:rPr>
        <w:t xml:space="preserve">, come stabilito anche nella sentenza della Corte costituzionale n. 48/03,  </w:t>
      </w:r>
      <w:r w:rsidRPr="002D0BBF">
        <w:rPr>
          <w:rFonts w:ascii="Arial" w:hAnsi="Arial" w:cs="Arial"/>
          <w:b/>
          <w:sz w:val="24"/>
          <w:szCs w:val="24"/>
        </w:rPr>
        <w:t xml:space="preserve">non è direttamente disponibile da parte del legislatore statale o regionale (per le Regioni a statuto speciale. </w:t>
      </w:r>
      <w:r w:rsidRPr="002D0BBF">
        <w:rPr>
          <w:rFonts w:ascii="Arial" w:hAnsi="Arial" w:cs="Arial"/>
          <w:sz w:val="24"/>
          <w:szCs w:val="24"/>
        </w:rPr>
        <w:t>Pertanto, anche nel caso di istituzione delle Città metropolitana e di scomparsa delle Province nelle rispettive aree</w:t>
      </w:r>
      <w:r w:rsidRPr="002D0BBF">
        <w:rPr>
          <w:rFonts w:ascii="Arial" w:hAnsi="Arial" w:cs="Arial"/>
          <w:b/>
          <w:sz w:val="24"/>
          <w:szCs w:val="24"/>
        </w:rPr>
        <w:t>, occorre comunque rispettare la scadenza</w:t>
      </w:r>
      <w:r>
        <w:rPr>
          <w:rFonts w:ascii="Arial" w:hAnsi="Arial" w:cs="Arial"/>
          <w:b/>
          <w:sz w:val="24"/>
          <w:szCs w:val="24"/>
        </w:rPr>
        <w:t xml:space="preserve"> naturale degli organi elettivi.</w:t>
      </w:r>
    </w:p>
    <w:p w:rsidR="00E34315" w:rsidRDefault="00E34315" w:rsidP="002D0BBF">
      <w:pPr>
        <w:pStyle w:val="ListParagraph"/>
        <w:jc w:val="both"/>
        <w:rPr>
          <w:rFonts w:ascii="Arial" w:hAnsi="Arial" w:cs="Arial"/>
          <w:b/>
          <w:sz w:val="24"/>
          <w:szCs w:val="24"/>
        </w:rPr>
      </w:pPr>
    </w:p>
    <w:p w:rsidR="00E34315" w:rsidRPr="002D0BBF" w:rsidRDefault="00E34315" w:rsidP="00762F62">
      <w:pPr>
        <w:pStyle w:val="ListParagraph"/>
        <w:numPr>
          <w:ilvl w:val="0"/>
          <w:numId w:val="6"/>
        </w:numPr>
        <w:jc w:val="both"/>
        <w:rPr>
          <w:rFonts w:ascii="Arial" w:hAnsi="Arial" w:cs="Arial"/>
          <w:b/>
          <w:sz w:val="24"/>
          <w:szCs w:val="24"/>
        </w:rPr>
      </w:pPr>
      <w:r w:rsidRPr="00762F62">
        <w:rPr>
          <w:rFonts w:ascii="Arial" w:hAnsi="Arial" w:cs="Arial"/>
          <w:b/>
          <w:sz w:val="24"/>
          <w:szCs w:val="24"/>
        </w:rPr>
        <w:t xml:space="preserve">Assegna </w:t>
      </w:r>
      <w:r w:rsidRPr="00762F62">
        <w:rPr>
          <w:rFonts w:ascii="Arial" w:hAnsi="Arial" w:cs="Arial"/>
          <w:b/>
          <w:i/>
          <w:sz w:val="24"/>
          <w:szCs w:val="24"/>
        </w:rPr>
        <w:t>ex lege</w:t>
      </w:r>
      <w:r w:rsidRPr="00762F62">
        <w:rPr>
          <w:rFonts w:ascii="Arial" w:hAnsi="Arial" w:cs="Arial"/>
          <w:b/>
          <w:sz w:val="24"/>
          <w:szCs w:val="24"/>
        </w:rPr>
        <w:t xml:space="preserve"> al Sindaco del Comune capoluogo, in prima applicazione, il ruolo di Sindaco metropolitano</w:t>
      </w:r>
      <w:r>
        <w:rPr>
          <w:rFonts w:ascii="Arial" w:hAnsi="Arial" w:cs="Arial"/>
          <w:b/>
          <w:sz w:val="24"/>
          <w:szCs w:val="24"/>
        </w:rPr>
        <w:t xml:space="preserve">. </w:t>
      </w:r>
      <w:r>
        <w:rPr>
          <w:rFonts w:ascii="Arial" w:hAnsi="Arial" w:cs="Arial"/>
          <w:sz w:val="24"/>
          <w:szCs w:val="24"/>
        </w:rPr>
        <w:t>Ma il sindaco del comune capoluogo, o un assessore da lui delegato, è legittimato a dare risposte al suo territorio di riferimento, non a governare un ente di area vasta che va bene al di là dei confini comunali.</w:t>
      </w:r>
    </w:p>
    <w:p w:rsidR="00E34315" w:rsidRPr="00960244" w:rsidRDefault="00E34315" w:rsidP="002D0BBF">
      <w:pPr>
        <w:numPr>
          <w:ilvl w:val="0"/>
          <w:numId w:val="6"/>
        </w:numPr>
        <w:jc w:val="both"/>
        <w:rPr>
          <w:rFonts w:ascii="Arial" w:hAnsi="Arial" w:cs="Arial"/>
          <w:sz w:val="24"/>
          <w:szCs w:val="24"/>
        </w:rPr>
      </w:pPr>
      <w:r w:rsidRPr="002D0BBF">
        <w:rPr>
          <w:rFonts w:ascii="Arial" w:hAnsi="Arial" w:cs="Arial"/>
          <w:b/>
          <w:sz w:val="24"/>
          <w:szCs w:val="24"/>
        </w:rPr>
        <w:t>Introduce surrettiziamente per decreto un sistema elettorale di secondo grado per l’elezione del consiglio metropolitano e prevede che a regime il sindaco del comune capoluogo sia di diritto sindaco metropolitano</w:t>
      </w:r>
      <w:r w:rsidRPr="00960244">
        <w:rPr>
          <w:rFonts w:ascii="Arial" w:hAnsi="Arial" w:cs="Arial"/>
          <w:sz w:val="24"/>
          <w:szCs w:val="24"/>
        </w:rPr>
        <w:t>, salvo che lo statuto della città metropolitana non preveda un sistema di elezione diretta sul modello dell’elezione vigente pe</w:t>
      </w:r>
      <w:r>
        <w:rPr>
          <w:rFonts w:ascii="Arial" w:hAnsi="Arial" w:cs="Arial"/>
          <w:sz w:val="24"/>
          <w:szCs w:val="24"/>
        </w:rPr>
        <w:t>r il Presidente della Provincia.</w:t>
      </w:r>
    </w:p>
    <w:p w:rsidR="00E34315" w:rsidRPr="00960244" w:rsidRDefault="00E34315" w:rsidP="002D0BBF">
      <w:pPr>
        <w:numPr>
          <w:ilvl w:val="0"/>
          <w:numId w:val="6"/>
        </w:numPr>
        <w:jc w:val="both"/>
        <w:rPr>
          <w:rFonts w:ascii="Arial" w:hAnsi="Arial" w:cs="Arial"/>
          <w:sz w:val="24"/>
          <w:szCs w:val="24"/>
        </w:rPr>
      </w:pPr>
      <w:r>
        <w:rPr>
          <w:rFonts w:ascii="Arial" w:hAnsi="Arial" w:cs="Arial"/>
          <w:sz w:val="24"/>
          <w:szCs w:val="24"/>
        </w:rPr>
        <w:t>N</w:t>
      </w:r>
      <w:r w:rsidRPr="00960244">
        <w:rPr>
          <w:rFonts w:ascii="Arial" w:hAnsi="Arial" w:cs="Arial"/>
          <w:sz w:val="24"/>
          <w:szCs w:val="24"/>
        </w:rPr>
        <w:t xml:space="preserve">on si pone il problema </w:t>
      </w:r>
      <w:r>
        <w:rPr>
          <w:rFonts w:ascii="Arial" w:hAnsi="Arial" w:cs="Arial"/>
          <w:sz w:val="24"/>
          <w:szCs w:val="24"/>
        </w:rPr>
        <w:t xml:space="preserve">del </w:t>
      </w:r>
      <w:r w:rsidRPr="002D0BBF">
        <w:rPr>
          <w:rFonts w:ascii="Arial" w:hAnsi="Arial" w:cs="Arial"/>
          <w:b/>
          <w:sz w:val="24"/>
          <w:szCs w:val="24"/>
        </w:rPr>
        <w:t>riordino della maglia dei comuni metropolitani</w:t>
      </w:r>
      <w:r w:rsidRPr="00960244">
        <w:rPr>
          <w:rFonts w:ascii="Arial" w:hAnsi="Arial" w:cs="Arial"/>
          <w:sz w:val="24"/>
          <w:szCs w:val="24"/>
        </w:rPr>
        <w:t xml:space="preserve"> anche attraverso la trasformazione delle circoscrizioni del comune capoluogo in nuovi comuni metropolitani.</w:t>
      </w:r>
    </w:p>
    <w:p w:rsidR="00E34315" w:rsidRPr="002D0BBF" w:rsidRDefault="00E34315" w:rsidP="00762F62">
      <w:pPr>
        <w:pStyle w:val="ListParagraph"/>
        <w:ind w:left="0"/>
        <w:jc w:val="both"/>
        <w:rPr>
          <w:rFonts w:ascii="Arial" w:hAnsi="Arial" w:cs="Arial"/>
          <w:b/>
          <w:sz w:val="24"/>
          <w:szCs w:val="24"/>
        </w:rPr>
      </w:pPr>
      <w:r w:rsidRPr="00960244">
        <w:rPr>
          <w:rFonts w:ascii="Arial" w:hAnsi="Arial" w:cs="Arial"/>
          <w:sz w:val="24"/>
          <w:szCs w:val="24"/>
        </w:rPr>
        <w:t xml:space="preserve">A nostro avviso, </w:t>
      </w:r>
      <w:r w:rsidRPr="00960244">
        <w:rPr>
          <w:rFonts w:ascii="Arial" w:hAnsi="Arial" w:cs="Arial"/>
          <w:b/>
          <w:sz w:val="24"/>
          <w:szCs w:val="24"/>
        </w:rPr>
        <w:t>le città metropolitane</w:t>
      </w:r>
      <w:r w:rsidRPr="00960244">
        <w:rPr>
          <w:rFonts w:ascii="Arial" w:hAnsi="Arial" w:cs="Arial"/>
          <w:sz w:val="24"/>
          <w:szCs w:val="24"/>
        </w:rPr>
        <w:t>, quali enti di governo integrato delle aree metropolitane</w:t>
      </w:r>
      <w:r>
        <w:rPr>
          <w:rFonts w:ascii="Arial" w:hAnsi="Arial" w:cs="Arial"/>
          <w:sz w:val="24"/>
          <w:szCs w:val="24"/>
        </w:rPr>
        <w:t xml:space="preserve">, non possono essere configurate come consorzi di Comuni ma </w:t>
      </w:r>
      <w:r w:rsidRPr="00960244">
        <w:rPr>
          <w:rFonts w:ascii="Arial" w:hAnsi="Arial" w:cs="Arial"/>
          <w:b/>
          <w:sz w:val="24"/>
          <w:szCs w:val="24"/>
        </w:rPr>
        <w:t>devono essere enti di governo legittimanti direttamente con voto popolare e democratico</w:t>
      </w:r>
      <w:r>
        <w:rPr>
          <w:rFonts w:ascii="Arial" w:hAnsi="Arial" w:cs="Arial"/>
          <w:b/>
          <w:sz w:val="24"/>
          <w:szCs w:val="24"/>
        </w:rPr>
        <w:t xml:space="preserve">, </w:t>
      </w:r>
      <w:r w:rsidRPr="00960244">
        <w:rPr>
          <w:rFonts w:ascii="Arial" w:hAnsi="Arial" w:cs="Arial"/>
          <w:sz w:val="24"/>
          <w:szCs w:val="24"/>
        </w:rPr>
        <w:t>perché altrimenti non avrebbero l’autorevolezza per svolgere le importanti funzioni che ad esse sono riconosciute</w:t>
      </w:r>
      <w:r>
        <w:rPr>
          <w:rFonts w:ascii="Arial" w:hAnsi="Arial" w:cs="Arial"/>
          <w:sz w:val="24"/>
          <w:szCs w:val="24"/>
        </w:rPr>
        <w:t>.</w:t>
      </w:r>
    </w:p>
    <w:p w:rsidR="00E34315" w:rsidRPr="00960244" w:rsidRDefault="00E34315" w:rsidP="002B0B0F">
      <w:pPr>
        <w:ind w:left="360"/>
        <w:jc w:val="both"/>
        <w:rPr>
          <w:rFonts w:ascii="Arial" w:hAnsi="Arial" w:cs="Arial"/>
          <w:sz w:val="24"/>
          <w:szCs w:val="24"/>
        </w:rPr>
      </w:pPr>
    </w:p>
    <w:p w:rsidR="00E34315" w:rsidRPr="00D91014" w:rsidRDefault="00E34315" w:rsidP="002C09B8">
      <w:pPr>
        <w:pStyle w:val="ListParagraph"/>
        <w:numPr>
          <w:ilvl w:val="0"/>
          <w:numId w:val="2"/>
        </w:numPr>
        <w:rPr>
          <w:rFonts w:ascii="Arial" w:hAnsi="Arial" w:cs="Arial"/>
          <w:b/>
          <w:sz w:val="24"/>
          <w:szCs w:val="24"/>
          <w:u w:val="single"/>
        </w:rPr>
      </w:pPr>
      <w:r>
        <w:rPr>
          <w:rFonts w:ascii="Arial" w:hAnsi="Arial" w:cs="Arial"/>
          <w:b/>
          <w:sz w:val="24"/>
          <w:szCs w:val="24"/>
          <w:u w:val="single"/>
        </w:rPr>
        <w:t>Riordino enti strumentali</w:t>
      </w:r>
    </w:p>
    <w:p w:rsidR="00E34315" w:rsidRDefault="00E34315" w:rsidP="002C09B8">
      <w:pPr>
        <w:pStyle w:val="ListParagraph"/>
        <w:ind w:left="0"/>
        <w:rPr>
          <w:rFonts w:ascii="Arial" w:hAnsi="Arial" w:cs="Arial"/>
          <w:b/>
          <w:sz w:val="24"/>
          <w:szCs w:val="24"/>
          <w:u w:val="single"/>
        </w:rPr>
      </w:pPr>
    </w:p>
    <w:p w:rsidR="00E34315" w:rsidRDefault="00E34315" w:rsidP="002C09B8">
      <w:pPr>
        <w:pStyle w:val="ListParagraph"/>
        <w:ind w:left="0"/>
        <w:jc w:val="both"/>
        <w:rPr>
          <w:rFonts w:ascii="Arial" w:hAnsi="Arial" w:cs="Arial"/>
          <w:sz w:val="24"/>
          <w:szCs w:val="24"/>
        </w:rPr>
      </w:pPr>
      <w:r>
        <w:rPr>
          <w:rFonts w:ascii="Arial" w:hAnsi="Arial" w:cs="Arial"/>
          <w:sz w:val="24"/>
          <w:szCs w:val="24"/>
        </w:rPr>
        <w:t>L’individuazione delle funzioni fondamentali dei Comuni, delle Province e delle Città metropolitane ha come necessario corollario la soppressione e il riordino degli enti intermedi che esercitano le stesse funzioni.</w:t>
      </w:r>
    </w:p>
    <w:p w:rsidR="00E34315" w:rsidRDefault="00E34315" w:rsidP="002C09B8">
      <w:pPr>
        <w:pStyle w:val="ListParagraph"/>
        <w:ind w:left="0"/>
        <w:jc w:val="both"/>
        <w:rPr>
          <w:rFonts w:ascii="Arial" w:hAnsi="Arial" w:cs="Arial"/>
          <w:sz w:val="24"/>
          <w:szCs w:val="24"/>
        </w:rPr>
      </w:pPr>
    </w:p>
    <w:p w:rsidR="00E34315" w:rsidRDefault="00E34315" w:rsidP="002C09B8">
      <w:pPr>
        <w:pStyle w:val="ListParagraph"/>
        <w:ind w:left="0"/>
        <w:jc w:val="both"/>
        <w:rPr>
          <w:rFonts w:ascii="Arial" w:hAnsi="Arial" w:cs="Arial"/>
          <w:sz w:val="24"/>
          <w:szCs w:val="24"/>
        </w:rPr>
      </w:pPr>
      <w:r>
        <w:rPr>
          <w:rFonts w:ascii="Arial" w:hAnsi="Arial" w:cs="Arial"/>
          <w:sz w:val="24"/>
          <w:szCs w:val="24"/>
        </w:rPr>
        <w:t>Il decreto (art. 9) prevede una disciplina che si pone l’obiettivo di avviare un processo di riordino degli enti e organismi intermedi delle regioni e degli enti locali con l’obiettivo di arrivare ad un contenimento delle spese per tali enti non inferiore al 20%.</w:t>
      </w:r>
    </w:p>
    <w:p w:rsidR="00E34315" w:rsidRDefault="00E34315" w:rsidP="002C09B8">
      <w:pPr>
        <w:pStyle w:val="ListParagraph"/>
        <w:ind w:left="0"/>
        <w:jc w:val="both"/>
        <w:rPr>
          <w:rFonts w:ascii="Arial" w:hAnsi="Arial" w:cs="Arial"/>
          <w:sz w:val="24"/>
          <w:szCs w:val="24"/>
        </w:rPr>
      </w:pPr>
    </w:p>
    <w:p w:rsidR="00E34315" w:rsidRDefault="00E34315" w:rsidP="002C09B8">
      <w:pPr>
        <w:pStyle w:val="ListParagraph"/>
        <w:ind w:left="0"/>
        <w:jc w:val="both"/>
        <w:rPr>
          <w:rFonts w:ascii="Arial" w:hAnsi="Arial" w:cs="Arial"/>
          <w:sz w:val="24"/>
          <w:szCs w:val="24"/>
        </w:rPr>
      </w:pPr>
      <w:r>
        <w:rPr>
          <w:rFonts w:ascii="Arial" w:hAnsi="Arial" w:cs="Arial"/>
          <w:sz w:val="24"/>
          <w:szCs w:val="24"/>
        </w:rPr>
        <w:t>La norma prevede a tal fine un accordo preventivo in Conferenza unificata per operare una ricognizione complessiva degli enti sui quali operare la soppressione o il riordino.</w:t>
      </w:r>
    </w:p>
    <w:p w:rsidR="00E34315" w:rsidRDefault="00E34315" w:rsidP="002C09B8">
      <w:pPr>
        <w:pStyle w:val="ListParagraph"/>
        <w:ind w:left="0"/>
        <w:jc w:val="both"/>
        <w:rPr>
          <w:rFonts w:ascii="Arial" w:hAnsi="Arial" w:cs="Arial"/>
          <w:sz w:val="24"/>
          <w:szCs w:val="24"/>
        </w:rPr>
      </w:pPr>
    </w:p>
    <w:p w:rsidR="00E34315" w:rsidRPr="0020641B" w:rsidRDefault="00E34315" w:rsidP="002C09B8">
      <w:pPr>
        <w:pStyle w:val="ListParagraph"/>
        <w:ind w:left="0"/>
        <w:jc w:val="both"/>
        <w:rPr>
          <w:rFonts w:ascii="Arial" w:hAnsi="Arial" w:cs="Arial"/>
          <w:b/>
          <w:sz w:val="24"/>
          <w:szCs w:val="24"/>
        </w:rPr>
      </w:pPr>
      <w:r w:rsidRPr="0020641B">
        <w:rPr>
          <w:rFonts w:ascii="Arial" w:hAnsi="Arial" w:cs="Arial"/>
          <w:b/>
          <w:sz w:val="24"/>
          <w:szCs w:val="24"/>
        </w:rPr>
        <w:t>Questo intervento complessivo di riordino</w:t>
      </w:r>
      <w:r>
        <w:rPr>
          <w:rFonts w:ascii="Arial" w:hAnsi="Arial" w:cs="Arial"/>
          <w:b/>
          <w:sz w:val="24"/>
          <w:szCs w:val="24"/>
        </w:rPr>
        <w:t xml:space="preserve"> può essere favorito dal processo di accorpamento delle Province ma </w:t>
      </w:r>
      <w:r w:rsidRPr="0020641B">
        <w:rPr>
          <w:rFonts w:ascii="Arial" w:hAnsi="Arial" w:cs="Arial"/>
          <w:b/>
          <w:sz w:val="24"/>
          <w:szCs w:val="24"/>
        </w:rPr>
        <w:t>deve essere coordinato con le disposizioni in materia di riduzione di spese, messa in liquidazione e privatizzazione di società pubbliche previste dall’art. 4 del decreto.</w:t>
      </w:r>
    </w:p>
    <w:p w:rsidR="00E34315" w:rsidRPr="002C09B8" w:rsidRDefault="00E34315" w:rsidP="002C09B8">
      <w:pPr>
        <w:pStyle w:val="ListParagraph"/>
        <w:ind w:left="0"/>
        <w:jc w:val="both"/>
        <w:rPr>
          <w:rFonts w:ascii="Arial" w:hAnsi="Arial" w:cs="Arial"/>
          <w:sz w:val="24"/>
          <w:szCs w:val="24"/>
        </w:rPr>
      </w:pPr>
    </w:p>
    <w:p w:rsidR="00E34315" w:rsidRDefault="00E34315" w:rsidP="002C09B8">
      <w:pPr>
        <w:pStyle w:val="ListParagraph"/>
        <w:ind w:left="360"/>
        <w:rPr>
          <w:rFonts w:ascii="Arial" w:hAnsi="Arial" w:cs="Arial"/>
          <w:b/>
          <w:sz w:val="24"/>
          <w:szCs w:val="24"/>
          <w:u w:val="single"/>
        </w:rPr>
      </w:pPr>
    </w:p>
    <w:p w:rsidR="00E34315" w:rsidRDefault="00E34315" w:rsidP="008418E9">
      <w:pPr>
        <w:pStyle w:val="ListParagraph"/>
        <w:numPr>
          <w:ilvl w:val="0"/>
          <w:numId w:val="2"/>
        </w:numPr>
        <w:rPr>
          <w:rFonts w:ascii="Arial" w:hAnsi="Arial" w:cs="Arial"/>
          <w:b/>
          <w:sz w:val="24"/>
          <w:szCs w:val="24"/>
          <w:u w:val="single"/>
        </w:rPr>
      </w:pPr>
      <w:r>
        <w:rPr>
          <w:rFonts w:ascii="Arial" w:hAnsi="Arial" w:cs="Arial"/>
          <w:b/>
          <w:sz w:val="24"/>
          <w:szCs w:val="24"/>
          <w:u w:val="single"/>
        </w:rPr>
        <w:t>Uffici statali periferici</w:t>
      </w:r>
    </w:p>
    <w:p w:rsidR="00E34315" w:rsidRPr="00554F69" w:rsidRDefault="00E34315" w:rsidP="008418E9">
      <w:pPr>
        <w:pStyle w:val="ListParagraph"/>
        <w:ind w:left="360"/>
        <w:rPr>
          <w:rFonts w:ascii="Arial" w:hAnsi="Arial" w:cs="Arial"/>
          <w:sz w:val="24"/>
          <w:szCs w:val="24"/>
        </w:rPr>
      </w:pPr>
    </w:p>
    <w:p w:rsidR="00E34315" w:rsidRDefault="00E34315" w:rsidP="00554F69">
      <w:pPr>
        <w:pStyle w:val="ListParagraph"/>
        <w:ind w:left="0"/>
        <w:jc w:val="both"/>
        <w:rPr>
          <w:rFonts w:ascii="Arial" w:hAnsi="Arial" w:cs="Arial"/>
          <w:sz w:val="24"/>
          <w:szCs w:val="24"/>
        </w:rPr>
      </w:pPr>
      <w:r>
        <w:rPr>
          <w:rFonts w:ascii="Arial" w:hAnsi="Arial" w:cs="Arial"/>
          <w:sz w:val="24"/>
          <w:szCs w:val="24"/>
        </w:rPr>
        <w:t>Il processo di razionalizzazione delle istituzioni di area vasta e degli enti intermedi delineato dal decreto impone che contestualmente vi sia una riorganizzazione degli uffici statali periferici in modo si mantenga uno stretto legame tra la dimensione metropolitano – provinciale e la rappresentanza dello Stato nel territorio (</w:t>
      </w:r>
      <w:r w:rsidRPr="00997745">
        <w:rPr>
          <w:rFonts w:ascii="Arial" w:hAnsi="Arial" w:cs="Arial"/>
          <w:sz w:val="24"/>
          <w:szCs w:val="24"/>
          <w:u w:val="single"/>
        </w:rPr>
        <w:t>art. 10</w:t>
      </w:r>
      <w:r>
        <w:rPr>
          <w:rFonts w:ascii="Arial" w:hAnsi="Arial" w:cs="Arial"/>
          <w:sz w:val="24"/>
          <w:szCs w:val="24"/>
        </w:rPr>
        <w:t>).</w:t>
      </w:r>
    </w:p>
    <w:p w:rsidR="00E34315" w:rsidRDefault="00E34315" w:rsidP="00554F69">
      <w:pPr>
        <w:pStyle w:val="ListParagraph"/>
        <w:ind w:left="0"/>
        <w:jc w:val="both"/>
        <w:rPr>
          <w:rFonts w:ascii="Arial" w:hAnsi="Arial" w:cs="Arial"/>
          <w:sz w:val="24"/>
          <w:szCs w:val="24"/>
        </w:rPr>
      </w:pPr>
    </w:p>
    <w:p w:rsidR="00E34315" w:rsidRPr="0023062D" w:rsidRDefault="00E34315" w:rsidP="00554F69">
      <w:pPr>
        <w:pStyle w:val="ListParagraph"/>
        <w:ind w:left="0"/>
        <w:jc w:val="both"/>
        <w:rPr>
          <w:rFonts w:ascii="Arial" w:hAnsi="Arial" w:cs="Arial"/>
          <w:b/>
          <w:sz w:val="24"/>
          <w:szCs w:val="24"/>
        </w:rPr>
      </w:pPr>
      <w:r w:rsidRPr="0023062D">
        <w:rPr>
          <w:rFonts w:ascii="Arial" w:hAnsi="Arial" w:cs="Arial"/>
          <w:b/>
          <w:sz w:val="24"/>
          <w:szCs w:val="24"/>
        </w:rPr>
        <w:t>E’ infatti essenziale che il processo di razionalizzazione non si limiti alle istituzioni territoriali e coinvolga profondamente tutta l’amministrazione statale trasferendo le funzioni che possono essere decentrate a Comuni, Province, Città metropolitane in base ai principi di sussidiarietà, adeguatezza e differenziazione e costituendo finalmente - dopo 10 anni di inerzia totale - gli uffici territoriali dello Stato nel territorio.</w:t>
      </w:r>
    </w:p>
    <w:p w:rsidR="00E34315" w:rsidRDefault="00E34315" w:rsidP="00554F69">
      <w:pPr>
        <w:pStyle w:val="ListParagraph"/>
        <w:ind w:left="0"/>
        <w:jc w:val="both"/>
        <w:rPr>
          <w:rFonts w:ascii="Arial" w:hAnsi="Arial" w:cs="Arial"/>
          <w:sz w:val="24"/>
          <w:szCs w:val="24"/>
        </w:rPr>
      </w:pPr>
    </w:p>
    <w:p w:rsidR="00E34315" w:rsidRPr="00554F69" w:rsidRDefault="00E34315" w:rsidP="00554F69">
      <w:pPr>
        <w:pStyle w:val="ListParagraph"/>
        <w:ind w:left="0"/>
        <w:jc w:val="both"/>
        <w:rPr>
          <w:rFonts w:ascii="Arial" w:hAnsi="Arial" w:cs="Arial"/>
          <w:sz w:val="24"/>
          <w:szCs w:val="24"/>
        </w:rPr>
      </w:pPr>
    </w:p>
    <w:p w:rsidR="00E34315" w:rsidRPr="00F30D20" w:rsidRDefault="00E34315">
      <w:pPr>
        <w:rPr>
          <w:rFonts w:ascii="Arial" w:hAnsi="Arial" w:cs="Arial"/>
          <w:sz w:val="24"/>
          <w:szCs w:val="24"/>
        </w:rPr>
      </w:pPr>
    </w:p>
    <w:sectPr w:rsidR="00E34315" w:rsidRPr="00F30D20" w:rsidSect="00954689">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315" w:rsidRDefault="00E34315" w:rsidP="00F30D20">
      <w:pPr>
        <w:spacing w:after="0" w:line="240" w:lineRule="auto"/>
      </w:pPr>
      <w:r>
        <w:separator/>
      </w:r>
    </w:p>
  </w:endnote>
  <w:endnote w:type="continuationSeparator" w:id="0">
    <w:p w:rsidR="00E34315" w:rsidRDefault="00E34315" w:rsidP="00F30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15" w:rsidRDefault="00E34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315" w:rsidRDefault="00E34315" w:rsidP="00F30D20">
      <w:pPr>
        <w:spacing w:after="0" w:line="240" w:lineRule="auto"/>
      </w:pPr>
      <w:r>
        <w:separator/>
      </w:r>
    </w:p>
  </w:footnote>
  <w:footnote w:type="continuationSeparator" w:id="0">
    <w:p w:rsidR="00E34315" w:rsidRDefault="00E34315" w:rsidP="00F30D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13BEF"/>
    <w:multiLevelType w:val="hybridMultilevel"/>
    <w:tmpl w:val="5AEA39D0"/>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35E95886"/>
    <w:multiLevelType w:val="hybridMultilevel"/>
    <w:tmpl w:val="9D4E35F2"/>
    <w:lvl w:ilvl="0" w:tplc="0410000B">
      <w:start w:val="1"/>
      <w:numFmt w:val="bullet"/>
      <w:lvlText w:val=""/>
      <w:lvlJc w:val="left"/>
      <w:pPr>
        <w:tabs>
          <w:tab w:val="num" w:pos="1080"/>
        </w:tabs>
        <w:ind w:left="1080" w:hanging="360"/>
      </w:pPr>
      <w:rPr>
        <w:rFonts w:ascii="Wingdings" w:hAnsi="Wingdings"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4EF41CC7"/>
    <w:multiLevelType w:val="hybridMultilevel"/>
    <w:tmpl w:val="7AEE8E5E"/>
    <w:lvl w:ilvl="0" w:tplc="418854FE">
      <w:start w:val="1"/>
      <w:numFmt w:val="decimal"/>
      <w:lvlText w:val="%1."/>
      <w:lvlJc w:val="left"/>
      <w:pPr>
        <w:tabs>
          <w:tab w:val="num" w:pos="360"/>
        </w:tabs>
        <w:ind w:left="360" w:hanging="360"/>
      </w:pPr>
      <w:rPr>
        <w:rFonts w:cs="Times New Roman"/>
        <w:color w:val="auto"/>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5267784B"/>
    <w:multiLevelType w:val="hybridMultilevel"/>
    <w:tmpl w:val="1112561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1D57A6D"/>
    <w:multiLevelType w:val="hybridMultilevel"/>
    <w:tmpl w:val="4D0E7D5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B0A1F3F"/>
    <w:multiLevelType w:val="hybridMultilevel"/>
    <w:tmpl w:val="75A264A4"/>
    <w:lvl w:ilvl="0" w:tplc="BF9C616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CF0"/>
    <w:rsid w:val="00077322"/>
    <w:rsid w:val="00145C8D"/>
    <w:rsid w:val="00163949"/>
    <w:rsid w:val="001C44E3"/>
    <w:rsid w:val="0020641B"/>
    <w:rsid w:val="0023062D"/>
    <w:rsid w:val="002348F2"/>
    <w:rsid w:val="002470EF"/>
    <w:rsid w:val="0028367A"/>
    <w:rsid w:val="002B0B0F"/>
    <w:rsid w:val="002C09B8"/>
    <w:rsid w:val="002D0BBF"/>
    <w:rsid w:val="002D59FB"/>
    <w:rsid w:val="003B31C6"/>
    <w:rsid w:val="003E4A58"/>
    <w:rsid w:val="00480CFF"/>
    <w:rsid w:val="00554F69"/>
    <w:rsid w:val="006116BF"/>
    <w:rsid w:val="006F77FF"/>
    <w:rsid w:val="00711122"/>
    <w:rsid w:val="00762F62"/>
    <w:rsid w:val="007D16D8"/>
    <w:rsid w:val="007E620E"/>
    <w:rsid w:val="00822C13"/>
    <w:rsid w:val="00824692"/>
    <w:rsid w:val="008418E9"/>
    <w:rsid w:val="008473B0"/>
    <w:rsid w:val="00847E2F"/>
    <w:rsid w:val="00873738"/>
    <w:rsid w:val="008C2C05"/>
    <w:rsid w:val="00954689"/>
    <w:rsid w:val="00960244"/>
    <w:rsid w:val="00964CF0"/>
    <w:rsid w:val="00977082"/>
    <w:rsid w:val="00983615"/>
    <w:rsid w:val="00997745"/>
    <w:rsid w:val="009A2416"/>
    <w:rsid w:val="009C0930"/>
    <w:rsid w:val="009D5B09"/>
    <w:rsid w:val="00A16EDF"/>
    <w:rsid w:val="00A172BC"/>
    <w:rsid w:val="00AF61A5"/>
    <w:rsid w:val="00B141B1"/>
    <w:rsid w:val="00B3709F"/>
    <w:rsid w:val="00B751CA"/>
    <w:rsid w:val="00B871B4"/>
    <w:rsid w:val="00C12D71"/>
    <w:rsid w:val="00C51B2A"/>
    <w:rsid w:val="00CD4215"/>
    <w:rsid w:val="00D40E72"/>
    <w:rsid w:val="00D70CB9"/>
    <w:rsid w:val="00D91014"/>
    <w:rsid w:val="00DB4CE8"/>
    <w:rsid w:val="00E34315"/>
    <w:rsid w:val="00F30D20"/>
    <w:rsid w:val="00FC123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D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871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vvr0">
    <w:name w:val="provv_r0"/>
    <w:basedOn w:val="Normal"/>
    <w:uiPriority w:val="99"/>
    <w:rsid w:val="009A2416"/>
    <w:pPr>
      <w:spacing w:before="100" w:beforeAutospacing="1" w:after="100" w:afterAutospacing="1" w:line="240" w:lineRule="auto"/>
      <w:jc w:val="both"/>
    </w:pPr>
    <w:rPr>
      <w:rFonts w:ascii="Times New Roman" w:hAnsi="Times New Roman"/>
      <w:sz w:val="24"/>
      <w:szCs w:val="24"/>
    </w:rPr>
  </w:style>
  <w:style w:type="character" w:customStyle="1" w:styleId="linkneltesto">
    <w:name w:val="link_nel_testo"/>
    <w:basedOn w:val="DefaultParagraphFont"/>
    <w:uiPriority w:val="99"/>
    <w:rsid w:val="00F30D20"/>
    <w:rPr>
      <w:rFonts w:cs="Times New Roman"/>
      <w:i/>
      <w:iCs/>
    </w:rPr>
  </w:style>
  <w:style w:type="character" w:customStyle="1" w:styleId="provvnumcomma">
    <w:name w:val="provv_numcomma"/>
    <w:basedOn w:val="DefaultParagraphFont"/>
    <w:uiPriority w:val="99"/>
    <w:rsid w:val="00F30D20"/>
    <w:rPr>
      <w:rFonts w:cs="Times New Roman"/>
    </w:rPr>
  </w:style>
  <w:style w:type="paragraph" w:styleId="Header">
    <w:name w:val="header"/>
    <w:basedOn w:val="Normal"/>
    <w:link w:val="HeaderChar"/>
    <w:uiPriority w:val="99"/>
    <w:semiHidden/>
    <w:rsid w:val="00F30D20"/>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F30D20"/>
    <w:rPr>
      <w:rFonts w:cs="Times New Roman"/>
    </w:rPr>
  </w:style>
  <w:style w:type="paragraph" w:styleId="Footer">
    <w:name w:val="footer"/>
    <w:basedOn w:val="Normal"/>
    <w:link w:val="FooterChar"/>
    <w:uiPriority w:val="99"/>
    <w:rsid w:val="00F30D20"/>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F30D20"/>
    <w:rPr>
      <w:rFonts w:cs="Times New Roman"/>
    </w:rPr>
  </w:style>
  <w:style w:type="paragraph" w:styleId="BalloonText">
    <w:name w:val="Balloon Text"/>
    <w:basedOn w:val="Normal"/>
    <w:link w:val="BalloonTextChar"/>
    <w:uiPriority w:val="99"/>
    <w:semiHidden/>
    <w:rsid w:val="00F30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0D20"/>
    <w:rPr>
      <w:rFonts w:ascii="Tahoma" w:hAnsi="Tahoma" w:cs="Tahoma"/>
      <w:sz w:val="16"/>
      <w:szCs w:val="16"/>
    </w:rPr>
  </w:style>
  <w:style w:type="paragraph" w:styleId="ListParagraph">
    <w:name w:val="List Paragraph"/>
    <w:basedOn w:val="Normal"/>
    <w:uiPriority w:val="99"/>
    <w:qFormat/>
    <w:rsid w:val="00B141B1"/>
    <w:pPr>
      <w:ind w:left="720"/>
      <w:contextualSpacing/>
    </w:pPr>
  </w:style>
</w:styles>
</file>

<file path=word/webSettings.xml><?xml version="1.0" encoding="utf-8"?>
<w:webSettings xmlns:r="http://schemas.openxmlformats.org/officeDocument/2006/relationships" xmlns:w="http://schemas.openxmlformats.org/wordprocessingml/2006/main">
  <w:divs>
    <w:div w:id="172494988">
      <w:marLeft w:val="0"/>
      <w:marRight w:val="0"/>
      <w:marTop w:val="0"/>
      <w:marBottom w:val="0"/>
      <w:divBdr>
        <w:top w:val="none" w:sz="0" w:space="0" w:color="auto"/>
        <w:left w:val="none" w:sz="0" w:space="0" w:color="auto"/>
        <w:bottom w:val="none" w:sz="0" w:space="0" w:color="auto"/>
        <w:right w:val="none" w:sz="0" w:space="0" w:color="auto"/>
      </w:divBdr>
    </w:div>
    <w:div w:id="172494989">
      <w:marLeft w:val="0"/>
      <w:marRight w:val="0"/>
      <w:marTop w:val="0"/>
      <w:marBottom w:val="0"/>
      <w:divBdr>
        <w:top w:val="none" w:sz="0" w:space="0" w:color="auto"/>
        <w:left w:val="none" w:sz="0" w:space="0" w:color="auto"/>
        <w:bottom w:val="none" w:sz="0" w:space="0" w:color="auto"/>
        <w:right w:val="none" w:sz="0" w:space="0" w:color="auto"/>
      </w:divBdr>
    </w:div>
    <w:div w:id="172494990">
      <w:marLeft w:val="0"/>
      <w:marRight w:val="0"/>
      <w:marTop w:val="0"/>
      <w:marBottom w:val="0"/>
      <w:divBdr>
        <w:top w:val="none" w:sz="0" w:space="0" w:color="auto"/>
        <w:left w:val="none" w:sz="0" w:space="0" w:color="auto"/>
        <w:bottom w:val="none" w:sz="0" w:space="0" w:color="auto"/>
        <w:right w:val="none" w:sz="0" w:space="0" w:color="auto"/>
      </w:divBdr>
    </w:div>
    <w:div w:id="172494991">
      <w:marLeft w:val="0"/>
      <w:marRight w:val="0"/>
      <w:marTop w:val="0"/>
      <w:marBottom w:val="0"/>
      <w:divBdr>
        <w:top w:val="none" w:sz="0" w:space="0" w:color="auto"/>
        <w:left w:val="none" w:sz="0" w:space="0" w:color="auto"/>
        <w:bottom w:val="none" w:sz="0" w:space="0" w:color="auto"/>
        <w:right w:val="none" w:sz="0" w:space="0" w:color="auto"/>
      </w:divBdr>
    </w:div>
    <w:div w:id="172494992">
      <w:marLeft w:val="0"/>
      <w:marRight w:val="0"/>
      <w:marTop w:val="0"/>
      <w:marBottom w:val="0"/>
      <w:divBdr>
        <w:top w:val="none" w:sz="0" w:space="0" w:color="auto"/>
        <w:left w:val="none" w:sz="0" w:space="0" w:color="auto"/>
        <w:bottom w:val="none" w:sz="0" w:space="0" w:color="auto"/>
        <w:right w:val="none" w:sz="0" w:space="0" w:color="auto"/>
      </w:divBdr>
    </w:div>
    <w:div w:id="172494993">
      <w:marLeft w:val="0"/>
      <w:marRight w:val="0"/>
      <w:marTop w:val="0"/>
      <w:marBottom w:val="0"/>
      <w:divBdr>
        <w:top w:val="none" w:sz="0" w:space="0" w:color="auto"/>
        <w:left w:val="none" w:sz="0" w:space="0" w:color="auto"/>
        <w:bottom w:val="none" w:sz="0" w:space="0" w:color="auto"/>
        <w:right w:val="none" w:sz="0" w:space="0" w:color="auto"/>
      </w:divBdr>
    </w:div>
    <w:div w:id="172494994">
      <w:marLeft w:val="0"/>
      <w:marRight w:val="0"/>
      <w:marTop w:val="0"/>
      <w:marBottom w:val="0"/>
      <w:divBdr>
        <w:top w:val="none" w:sz="0" w:space="0" w:color="auto"/>
        <w:left w:val="none" w:sz="0" w:space="0" w:color="auto"/>
        <w:bottom w:val="none" w:sz="0" w:space="0" w:color="auto"/>
        <w:right w:val="none" w:sz="0" w:space="0" w:color="auto"/>
      </w:divBdr>
    </w:div>
    <w:div w:id="172494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6</Pages>
  <Words>1669</Words>
  <Characters>9516</Characters>
  <Application>Microsoft Office Outlook</Application>
  <DocSecurity>0</DocSecurity>
  <Lines>0</Lines>
  <Paragraphs>0</Paragraphs>
  <ScaleCrop>false</ScaleCrop>
  <Company>Unione Province D'Italia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 Perluigi</dc:creator>
  <cp:keywords/>
  <dc:description/>
  <cp:lastModifiedBy>Palombelli</cp:lastModifiedBy>
  <cp:revision>3</cp:revision>
  <cp:lastPrinted>2012-07-16T09:18:00Z</cp:lastPrinted>
  <dcterms:created xsi:type="dcterms:W3CDTF">2012-07-16T09:09:00Z</dcterms:created>
  <dcterms:modified xsi:type="dcterms:W3CDTF">2012-07-16T09:25:00Z</dcterms:modified>
</cp:coreProperties>
</file>