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9A" w:rsidRDefault="00AF569A" w:rsidP="00080DBC">
      <w:pPr>
        <w:jc w:val="center"/>
        <w:rPr>
          <w:rFonts w:ascii="Times New Roman" w:hAnsi="Times New Roman"/>
          <w:b/>
          <w:sz w:val="26"/>
          <w:szCs w:val="26"/>
        </w:rPr>
      </w:pPr>
      <w:r>
        <w:object w:dxaOrig="7368" w:dyaOrig="5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05pt" o:ole="">
            <v:imagedata r:id="rId8" o:title=""/>
          </v:shape>
          <o:OLEObject Type="Embed" ProgID="MSPhotoEd.3" ShapeID="_x0000_i1025" DrawAspect="Content" ObjectID="_1490143443" r:id="rId9"/>
        </w:object>
      </w:r>
    </w:p>
    <w:p w:rsidR="00AF569A" w:rsidRDefault="00AF569A" w:rsidP="00080DBC">
      <w:pPr>
        <w:jc w:val="center"/>
        <w:rPr>
          <w:rFonts w:ascii="Times New Roman" w:hAnsi="Times New Roman"/>
          <w:b/>
          <w:sz w:val="32"/>
          <w:szCs w:val="32"/>
        </w:rPr>
      </w:pPr>
    </w:p>
    <w:p w:rsidR="00AF569A" w:rsidRDefault="00AF569A" w:rsidP="00080DBC">
      <w:pPr>
        <w:jc w:val="center"/>
        <w:rPr>
          <w:rFonts w:ascii="Times New Roman" w:hAnsi="Times New Roman"/>
          <w:b/>
          <w:sz w:val="32"/>
          <w:szCs w:val="32"/>
        </w:rPr>
      </w:pPr>
    </w:p>
    <w:p w:rsidR="00AF569A" w:rsidRPr="00CB5289" w:rsidRDefault="00AF569A" w:rsidP="00080DBC">
      <w:pPr>
        <w:jc w:val="center"/>
        <w:rPr>
          <w:rFonts w:ascii="Times New Roman" w:hAnsi="Times New Roman"/>
          <w:b/>
          <w:sz w:val="32"/>
          <w:szCs w:val="32"/>
        </w:rPr>
      </w:pPr>
    </w:p>
    <w:p w:rsidR="00AF569A" w:rsidRDefault="00AF569A" w:rsidP="00080DBC">
      <w:pPr>
        <w:spacing w:after="0" w:line="240" w:lineRule="auto"/>
        <w:jc w:val="center"/>
        <w:rPr>
          <w:rFonts w:ascii="Times New Roman" w:hAnsi="Times New Roman"/>
          <w:b/>
          <w:bCs/>
          <w:sz w:val="32"/>
          <w:szCs w:val="32"/>
          <w:lang w:eastAsia="it-IT"/>
        </w:rPr>
      </w:pPr>
      <w:r w:rsidRPr="00CB5289">
        <w:rPr>
          <w:rFonts w:ascii="Times New Roman" w:hAnsi="Times New Roman"/>
          <w:b/>
          <w:bCs/>
          <w:sz w:val="32"/>
          <w:szCs w:val="32"/>
          <w:lang w:eastAsia="it-IT"/>
        </w:rPr>
        <w:t xml:space="preserve">AUDIZIONE </w:t>
      </w:r>
      <w:r w:rsidRPr="00CB5289">
        <w:rPr>
          <w:rFonts w:ascii="Times New Roman" w:hAnsi="Times New Roman"/>
          <w:b/>
          <w:sz w:val="32"/>
          <w:szCs w:val="32"/>
          <w:lang w:eastAsia="it-IT"/>
        </w:rPr>
        <w:br/>
      </w:r>
      <w:r w:rsidRPr="00CB5289">
        <w:rPr>
          <w:rFonts w:ascii="Times New Roman" w:hAnsi="Times New Roman"/>
          <w:b/>
          <w:bCs/>
          <w:sz w:val="32"/>
          <w:szCs w:val="32"/>
          <w:lang w:eastAsia="it-IT"/>
        </w:rPr>
        <w:t xml:space="preserve">COMMISSIONE </w:t>
      </w:r>
      <w:r>
        <w:rPr>
          <w:rFonts w:ascii="Times New Roman" w:hAnsi="Times New Roman"/>
          <w:b/>
          <w:bCs/>
          <w:sz w:val="32"/>
          <w:szCs w:val="32"/>
          <w:lang w:eastAsia="it-IT"/>
        </w:rPr>
        <w:t xml:space="preserve">VII </w:t>
      </w:r>
      <w:r w:rsidRPr="00CB5289">
        <w:rPr>
          <w:rFonts w:ascii="Times New Roman" w:hAnsi="Times New Roman"/>
          <w:b/>
          <w:bCs/>
          <w:sz w:val="32"/>
          <w:szCs w:val="32"/>
          <w:lang w:eastAsia="it-IT"/>
        </w:rPr>
        <w:t>–</w:t>
      </w:r>
      <w:r>
        <w:rPr>
          <w:rFonts w:ascii="Times New Roman" w:hAnsi="Times New Roman"/>
          <w:b/>
          <w:bCs/>
          <w:sz w:val="32"/>
          <w:szCs w:val="32"/>
          <w:lang w:eastAsia="it-IT"/>
        </w:rPr>
        <w:t xml:space="preserve"> CAMERA DEI DEPUTATI</w:t>
      </w:r>
    </w:p>
    <w:p w:rsidR="00AF569A" w:rsidRDefault="00AF569A" w:rsidP="00080DBC">
      <w:pPr>
        <w:spacing w:after="0" w:line="240" w:lineRule="auto"/>
        <w:jc w:val="center"/>
        <w:rPr>
          <w:rFonts w:ascii="Times New Roman" w:hAnsi="Times New Roman"/>
          <w:b/>
          <w:bCs/>
          <w:sz w:val="32"/>
          <w:szCs w:val="32"/>
          <w:lang w:eastAsia="it-IT"/>
        </w:rPr>
      </w:pPr>
    </w:p>
    <w:p w:rsidR="00AF569A" w:rsidRDefault="00AF569A" w:rsidP="00080DBC">
      <w:pPr>
        <w:spacing w:after="0" w:line="240" w:lineRule="auto"/>
        <w:jc w:val="center"/>
        <w:rPr>
          <w:rFonts w:ascii="Times New Roman" w:hAnsi="Times New Roman"/>
          <w:b/>
          <w:bCs/>
          <w:sz w:val="32"/>
          <w:szCs w:val="32"/>
          <w:lang w:eastAsia="it-IT"/>
        </w:rPr>
      </w:pPr>
      <w:r>
        <w:rPr>
          <w:rFonts w:ascii="Times New Roman" w:hAnsi="Times New Roman"/>
          <w:b/>
          <w:bCs/>
          <w:sz w:val="32"/>
          <w:szCs w:val="32"/>
          <w:lang w:eastAsia="it-IT"/>
        </w:rPr>
        <w:t xml:space="preserve">DDL A.C. 2994 recante </w:t>
      </w:r>
    </w:p>
    <w:p w:rsidR="00AF569A" w:rsidRDefault="00AF569A" w:rsidP="00080DBC">
      <w:pPr>
        <w:spacing w:after="0" w:line="240" w:lineRule="auto"/>
        <w:jc w:val="center"/>
        <w:rPr>
          <w:rFonts w:ascii="Times New Roman" w:hAnsi="Times New Roman"/>
          <w:b/>
          <w:bCs/>
          <w:sz w:val="32"/>
          <w:szCs w:val="32"/>
          <w:lang w:eastAsia="it-IT"/>
        </w:rPr>
      </w:pPr>
      <w:r>
        <w:rPr>
          <w:rFonts w:ascii="Times New Roman" w:hAnsi="Times New Roman"/>
          <w:b/>
          <w:bCs/>
          <w:sz w:val="32"/>
          <w:szCs w:val="32"/>
          <w:lang w:eastAsia="it-IT"/>
        </w:rPr>
        <w:t>“Riforma del sistema nazionale di istruzione e formazione e delega per il riordino delle disposizioni legislative vigenti”</w:t>
      </w:r>
      <w:r w:rsidRPr="00CB5289">
        <w:rPr>
          <w:rFonts w:ascii="Times New Roman" w:hAnsi="Times New Roman"/>
          <w:b/>
          <w:sz w:val="32"/>
          <w:szCs w:val="32"/>
          <w:lang w:eastAsia="it-IT"/>
        </w:rPr>
        <w:br/>
      </w:r>
    </w:p>
    <w:p w:rsidR="00AF569A" w:rsidRDefault="00AF569A" w:rsidP="00080DBC">
      <w:pPr>
        <w:spacing w:after="0" w:line="240" w:lineRule="auto"/>
        <w:jc w:val="center"/>
        <w:rPr>
          <w:rFonts w:ascii="Times New Roman" w:hAnsi="Times New Roman"/>
          <w:b/>
          <w:bCs/>
          <w:sz w:val="32"/>
          <w:szCs w:val="32"/>
          <w:lang w:eastAsia="it-IT"/>
        </w:rPr>
      </w:pPr>
    </w:p>
    <w:p w:rsidR="00AF569A" w:rsidRPr="00CB5289" w:rsidRDefault="00AF569A" w:rsidP="00080DBC">
      <w:pPr>
        <w:jc w:val="center"/>
        <w:rPr>
          <w:rFonts w:ascii="Times New Roman" w:hAnsi="Times New Roman"/>
          <w:b/>
          <w:sz w:val="32"/>
          <w:szCs w:val="32"/>
        </w:rPr>
      </w:pPr>
    </w:p>
    <w:p w:rsidR="00AF569A" w:rsidRPr="00CB5289" w:rsidRDefault="00AF569A" w:rsidP="00080DBC">
      <w:pPr>
        <w:jc w:val="center"/>
        <w:rPr>
          <w:rFonts w:ascii="Times New Roman" w:hAnsi="Times New Roman"/>
          <w:b/>
          <w:sz w:val="32"/>
          <w:szCs w:val="32"/>
        </w:rPr>
      </w:pPr>
    </w:p>
    <w:p w:rsidR="00AF569A" w:rsidRPr="00CB5289" w:rsidRDefault="00AF569A" w:rsidP="00080DBC">
      <w:pPr>
        <w:jc w:val="center"/>
        <w:rPr>
          <w:rFonts w:ascii="Times New Roman" w:hAnsi="Times New Roman"/>
          <w:b/>
          <w:sz w:val="32"/>
          <w:szCs w:val="32"/>
        </w:rPr>
      </w:pPr>
    </w:p>
    <w:p w:rsidR="00AF569A" w:rsidRPr="00CB5289" w:rsidRDefault="00AF569A" w:rsidP="00080DBC">
      <w:pPr>
        <w:jc w:val="center"/>
        <w:rPr>
          <w:rFonts w:ascii="Times New Roman" w:hAnsi="Times New Roman"/>
          <w:b/>
          <w:sz w:val="32"/>
          <w:szCs w:val="32"/>
        </w:rPr>
      </w:pPr>
    </w:p>
    <w:p w:rsidR="00AF569A" w:rsidRPr="00CB5289" w:rsidRDefault="00AF569A" w:rsidP="00080DBC">
      <w:pPr>
        <w:jc w:val="center"/>
        <w:rPr>
          <w:rFonts w:ascii="Times New Roman" w:hAnsi="Times New Roman"/>
          <w:b/>
          <w:sz w:val="32"/>
          <w:szCs w:val="32"/>
        </w:rPr>
      </w:pPr>
    </w:p>
    <w:p w:rsidR="00AF569A" w:rsidRPr="00CB5289" w:rsidRDefault="00AF569A" w:rsidP="00080DBC">
      <w:pPr>
        <w:jc w:val="center"/>
        <w:rPr>
          <w:rFonts w:ascii="Times New Roman" w:hAnsi="Times New Roman"/>
          <w:b/>
          <w:sz w:val="32"/>
          <w:szCs w:val="32"/>
        </w:rPr>
      </w:pPr>
    </w:p>
    <w:p w:rsidR="00AF569A" w:rsidRDefault="00AF569A" w:rsidP="00080DBC">
      <w:pPr>
        <w:jc w:val="center"/>
        <w:rPr>
          <w:rFonts w:ascii="Times New Roman" w:hAnsi="Times New Roman"/>
          <w:b/>
          <w:sz w:val="26"/>
          <w:szCs w:val="26"/>
        </w:rPr>
      </w:pPr>
      <w:r>
        <w:rPr>
          <w:rFonts w:ascii="Times New Roman" w:hAnsi="Times New Roman"/>
          <w:b/>
          <w:bCs/>
          <w:sz w:val="32"/>
          <w:szCs w:val="32"/>
          <w:lang w:eastAsia="it-IT"/>
        </w:rPr>
        <w:t>Roma, 10 aprile 2015</w:t>
      </w:r>
      <w:r>
        <w:rPr>
          <w:rFonts w:ascii="Times New Roman" w:hAnsi="Times New Roman"/>
          <w:b/>
          <w:bCs/>
          <w:sz w:val="32"/>
          <w:szCs w:val="32"/>
          <w:lang w:eastAsia="it-IT"/>
        </w:rPr>
        <w:br/>
      </w:r>
    </w:p>
    <w:p w:rsidR="00AF569A" w:rsidRDefault="00AF569A" w:rsidP="00DD3B5C">
      <w:pPr>
        <w:ind w:firstLine="708"/>
        <w:jc w:val="both"/>
        <w:rPr>
          <w:rFonts w:ascii="Times New Roman" w:hAnsi="Times New Roman"/>
          <w:sz w:val="28"/>
          <w:szCs w:val="28"/>
        </w:rPr>
      </w:pPr>
      <w:r>
        <w:rPr>
          <w:rFonts w:ascii="Times New Roman" w:hAnsi="Times New Roman"/>
          <w:b/>
          <w:sz w:val="26"/>
          <w:szCs w:val="26"/>
        </w:rPr>
        <w:br w:type="column"/>
      </w:r>
      <w:r>
        <w:rPr>
          <w:rFonts w:ascii="Times New Roman" w:hAnsi="Times New Roman"/>
          <w:sz w:val="28"/>
          <w:szCs w:val="28"/>
        </w:rPr>
        <w:lastRenderedPageBreak/>
        <w:t>Gentili Onorevoli</w:t>
      </w:r>
      <w:r w:rsidRPr="00477B27">
        <w:rPr>
          <w:rFonts w:ascii="Times New Roman" w:hAnsi="Times New Roman"/>
          <w:sz w:val="28"/>
          <w:szCs w:val="28"/>
        </w:rPr>
        <w:t xml:space="preserve">, </w:t>
      </w:r>
      <w:r>
        <w:rPr>
          <w:rFonts w:ascii="Times New Roman" w:hAnsi="Times New Roman"/>
          <w:sz w:val="28"/>
          <w:szCs w:val="28"/>
        </w:rPr>
        <w:t xml:space="preserve">nel ringraziarvi per averci voluto convocare in questa sede, intendiamo sottoporre alla Vostra attenzione alcune considerazioni in merito al </w:t>
      </w:r>
      <w:proofErr w:type="spellStart"/>
      <w:r>
        <w:rPr>
          <w:rFonts w:ascii="Times New Roman" w:hAnsi="Times New Roman"/>
          <w:sz w:val="28"/>
          <w:szCs w:val="28"/>
        </w:rPr>
        <w:t>ddl</w:t>
      </w:r>
      <w:proofErr w:type="spellEnd"/>
      <w:r>
        <w:rPr>
          <w:rFonts w:ascii="Times New Roman" w:hAnsi="Times New Roman"/>
          <w:sz w:val="28"/>
          <w:szCs w:val="28"/>
        </w:rPr>
        <w:t xml:space="preserve"> di riforma </w:t>
      </w:r>
      <w:r w:rsidRPr="00DD3B5C">
        <w:rPr>
          <w:rFonts w:ascii="Times New Roman" w:hAnsi="Times New Roman"/>
          <w:sz w:val="28"/>
          <w:szCs w:val="28"/>
        </w:rPr>
        <w:t>del sistema nazionale di istruzione e formazione e delega per il riordino delle d</w:t>
      </w:r>
      <w:r>
        <w:rPr>
          <w:rFonts w:ascii="Times New Roman" w:hAnsi="Times New Roman"/>
          <w:sz w:val="28"/>
          <w:szCs w:val="28"/>
        </w:rPr>
        <w:t>isposizioni legislative vigenti, cosiddetto della “Buona Scuola”.</w:t>
      </w:r>
    </w:p>
    <w:p w:rsidR="00AF569A" w:rsidRDefault="00AF569A" w:rsidP="00DD3B5C">
      <w:pPr>
        <w:ind w:firstLine="708"/>
        <w:jc w:val="both"/>
        <w:rPr>
          <w:rFonts w:ascii="Times New Roman" w:hAnsi="Times New Roman"/>
          <w:sz w:val="28"/>
          <w:szCs w:val="28"/>
        </w:rPr>
      </w:pPr>
    </w:p>
    <w:p w:rsidR="00AF569A" w:rsidRPr="001F104D" w:rsidRDefault="00AF569A" w:rsidP="00DD3B5C">
      <w:pPr>
        <w:ind w:firstLine="708"/>
        <w:jc w:val="both"/>
        <w:rPr>
          <w:rFonts w:ascii="Times New Roman" w:hAnsi="Times New Roman"/>
          <w:b/>
          <w:sz w:val="28"/>
          <w:szCs w:val="28"/>
          <w:u w:val="single"/>
        </w:rPr>
      </w:pPr>
      <w:r w:rsidRPr="001F104D">
        <w:rPr>
          <w:rFonts w:ascii="Times New Roman" w:hAnsi="Times New Roman"/>
          <w:b/>
          <w:sz w:val="28"/>
          <w:szCs w:val="28"/>
          <w:u w:val="single"/>
        </w:rPr>
        <w:t>PREMESSA</w:t>
      </w:r>
    </w:p>
    <w:p w:rsidR="00AF569A" w:rsidRDefault="00AF569A" w:rsidP="00DD3B5C">
      <w:pPr>
        <w:jc w:val="both"/>
        <w:rPr>
          <w:rFonts w:ascii="Times New Roman" w:hAnsi="Times New Roman"/>
          <w:sz w:val="28"/>
          <w:szCs w:val="28"/>
        </w:rPr>
      </w:pPr>
      <w:r>
        <w:rPr>
          <w:rFonts w:ascii="Times New Roman" w:hAnsi="Times New Roman"/>
          <w:sz w:val="28"/>
          <w:szCs w:val="28"/>
        </w:rPr>
        <w:tab/>
        <w:t xml:space="preserve">Questo </w:t>
      </w:r>
      <w:r w:rsidR="001F104D">
        <w:rPr>
          <w:rFonts w:ascii="Times New Roman" w:hAnsi="Times New Roman"/>
          <w:sz w:val="28"/>
          <w:szCs w:val="28"/>
        </w:rPr>
        <w:t>DDL</w:t>
      </w:r>
      <w:r>
        <w:rPr>
          <w:rFonts w:ascii="Times New Roman" w:hAnsi="Times New Roman"/>
          <w:sz w:val="28"/>
          <w:szCs w:val="28"/>
        </w:rPr>
        <w:t xml:space="preserve"> rappresenta a nostro avviso un importante provvedimento di riforma organica che incide su un settore fondamentale per il presente ed il futuro del nostro Paese ponendosi l’obiettivo di affrontare e risolvere alcune criticità del vigente sistema nazionale di istruzione e formazione. </w:t>
      </w:r>
    </w:p>
    <w:p w:rsidR="00AF569A" w:rsidRDefault="00AF569A" w:rsidP="00DD3B5C">
      <w:pPr>
        <w:jc w:val="both"/>
        <w:rPr>
          <w:rFonts w:ascii="Times New Roman" w:hAnsi="Times New Roman"/>
          <w:sz w:val="28"/>
          <w:szCs w:val="28"/>
        </w:rPr>
      </w:pPr>
      <w:r>
        <w:rPr>
          <w:rFonts w:ascii="Times New Roman" w:hAnsi="Times New Roman"/>
          <w:sz w:val="28"/>
          <w:szCs w:val="28"/>
        </w:rPr>
        <w:tab/>
        <w:t xml:space="preserve">Si tratta di una riforma ampia e profonda , una riforma di sistema che era urgente anche per allineare l’Italia agli altri Paesi UE che hanno già affrontato (e in parte) risolto questo tema. </w:t>
      </w:r>
    </w:p>
    <w:p w:rsidR="00AF569A" w:rsidRDefault="00AF569A" w:rsidP="00DD3B5C">
      <w:pPr>
        <w:jc w:val="both"/>
        <w:rPr>
          <w:rFonts w:ascii="Times New Roman" w:hAnsi="Times New Roman"/>
          <w:sz w:val="28"/>
          <w:szCs w:val="28"/>
        </w:rPr>
      </w:pPr>
      <w:r>
        <w:rPr>
          <w:rFonts w:ascii="Times New Roman" w:hAnsi="Times New Roman"/>
          <w:sz w:val="28"/>
          <w:szCs w:val="28"/>
        </w:rPr>
        <w:tab/>
        <w:t>Questo riforma pone infatti il Parlamento, le Regioni e le autonomie locali di fronte alle proprie responsabilità rispetto al contributo che ciascuna Istituzione dovrà dare rispetto al miglioramento del sistema dell’Istruzione.</w:t>
      </w:r>
    </w:p>
    <w:p w:rsidR="00AF569A" w:rsidRDefault="00AF569A" w:rsidP="00DD3B5C">
      <w:pPr>
        <w:jc w:val="both"/>
        <w:rPr>
          <w:rFonts w:ascii="Times New Roman" w:hAnsi="Times New Roman"/>
          <w:sz w:val="28"/>
          <w:szCs w:val="28"/>
        </w:rPr>
      </w:pPr>
    </w:p>
    <w:p w:rsidR="00AF569A" w:rsidRPr="001F104D" w:rsidRDefault="00AF569A" w:rsidP="00685DFE">
      <w:pPr>
        <w:ind w:firstLine="708"/>
        <w:jc w:val="both"/>
        <w:rPr>
          <w:rFonts w:ascii="Times New Roman" w:hAnsi="Times New Roman"/>
          <w:b/>
          <w:sz w:val="28"/>
          <w:szCs w:val="28"/>
          <w:u w:val="single"/>
        </w:rPr>
      </w:pPr>
      <w:r w:rsidRPr="001F104D">
        <w:rPr>
          <w:rFonts w:ascii="Times New Roman" w:hAnsi="Times New Roman"/>
          <w:b/>
          <w:sz w:val="28"/>
          <w:szCs w:val="28"/>
          <w:u w:val="single"/>
        </w:rPr>
        <w:t>PRIME CONSIDERAZIONI DI SISTEMA</w:t>
      </w:r>
    </w:p>
    <w:p w:rsidR="00AF569A" w:rsidRDefault="00AF569A" w:rsidP="00DD3B5C">
      <w:pPr>
        <w:jc w:val="both"/>
        <w:rPr>
          <w:rFonts w:ascii="Times New Roman" w:hAnsi="Times New Roman"/>
          <w:sz w:val="28"/>
          <w:szCs w:val="28"/>
        </w:rPr>
      </w:pPr>
      <w:r>
        <w:rPr>
          <w:rFonts w:ascii="Times New Roman" w:hAnsi="Times New Roman"/>
          <w:sz w:val="28"/>
          <w:szCs w:val="28"/>
        </w:rPr>
        <w:tab/>
        <w:t xml:space="preserve"> Il testo proposto al Parlamento ha una struttura duale individuabile in un blocco di articoli che va dall’1 al 20 a cui però si aggiunge l’articolo 21 che contiene una tale ampiezza di delega al Governo su cui riteniamo opportuno che il Parlamento verifichi attentamente i principi e criteri direttivi.</w:t>
      </w:r>
    </w:p>
    <w:p w:rsidR="00AF569A" w:rsidRDefault="00AF569A" w:rsidP="00352C40">
      <w:pPr>
        <w:ind w:firstLine="708"/>
        <w:jc w:val="both"/>
        <w:rPr>
          <w:rFonts w:ascii="Times New Roman" w:hAnsi="Times New Roman"/>
          <w:sz w:val="28"/>
          <w:szCs w:val="28"/>
        </w:rPr>
      </w:pPr>
      <w:r>
        <w:rPr>
          <w:rFonts w:ascii="Times New Roman" w:hAnsi="Times New Roman"/>
          <w:sz w:val="28"/>
          <w:szCs w:val="28"/>
        </w:rPr>
        <w:t>E’ certo apprezzabile l’incisivo rafforzamento dell’autonomia delle istituzioni scolastiche, che diventano sempre di più interlocutori</w:t>
      </w:r>
      <w:r w:rsidRPr="00E63FB6">
        <w:rPr>
          <w:rFonts w:ascii="Times New Roman" w:hAnsi="Times New Roman"/>
          <w:sz w:val="28"/>
          <w:szCs w:val="28"/>
        </w:rPr>
        <w:t xml:space="preserve"> autorevo</w:t>
      </w:r>
      <w:r>
        <w:rPr>
          <w:rFonts w:ascii="Times New Roman" w:hAnsi="Times New Roman"/>
          <w:sz w:val="28"/>
          <w:szCs w:val="28"/>
        </w:rPr>
        <w:t>li e indispensabili rispetto al territorio. Questa maggiore autonomia, volta a garantire massima flessibilità, diversificazione efficienza ed efficacia del servizio scolastico, viene collegata alla dotazione finanzia, all’integrazione e al miglior utilizzo delle risorse e delle strutture, all’introduzione di tecnologie innovative e al coordinamento con il contesto territoriale.</w:t>
      </w:r>
    </w:p>
    <w:p w:rsidR="00AF569A" w:rsidRDefault="00AF569A" w:rsidP="00D46E21">
      <w:pPr>
        <w:jc w:val="both"/>
        <w:rPr>
          <w:rFonts w:ascii="Times New Roman" w:hAnsi="Times New Roman"/>
          <w:sz w:val="28"/>
          <w:szCs w:val="28"/>
        </w:rPr>
      </w:pPr>
      <w:r>
        <w:rPr>
          <w:rFonts w:ascii="Times New Roman" w:hAnsi="Times New Roman"/>
          <w:sz w:val="28"/>
          <w:szCs w:val="28"/>
        </w:rPr>
        <w:tab/>
        <w:t>Ma “i</w:t>
      </w:r>
      <w:r w:rsidRPr="00E63FB6">
        <w:rPr>
          <w:rFonts w:ascii="Times New Roman" w:hAnsi="Times New Roman"/>
          <w:sz w:val="28"/>
          <w:szCs w:val="28"/>
        </w:rPr>
        <w:t>ntorno</w:t>
      </w:r>
      <w:r>
        <w:rPr>
          <w:rFonts w:ascii="Times New Roman" w:hAnsi="Times New Roman"/>
          <w:sz w:val="28"/>
          <w:szCs w:val="28"/>
        </w:rPr>
        <w:t>”</w:t>
      </w:r>
      <w:r w:rsidRPr="00E63FB6">
        <w:rPr>
          <w:rFonts w:ascii="Times New Roman" w:hAnsi="Times New Roman"/>
          <w:sz w:val="28"/>
          <w:szCs w:val="28"/>
        </w:rPr>
        <w:t xml:space="preserve"> all’Istituzione scolastica autonoma</w:t>
      </w:r>
      <w:r>
        <w:rPr>
          <w:rFonts w:ascii="Times New Roman" w:hAnsi="Times New Roman"/>
          <w:sz w:val="28"/>
          <w:szCs w:val="28"/>
        </w:rPr>
        <w:t xml:space="preserve"> ci sono gli enti locali, </w:t>
      </w:r>
      <w:r w:rsidRPr="00E63FB6">
        <w:rPr>
          <w:rFonts w:ascii="Times New Roman" w:hAnsi="Times New Roman"/>
          <w:sz w:val="28"/>
          <w:szCs w:val="28"/>
        </w:rPr>
        <w:t>Province</w:t>
      </w:r>
      <w:r>
        <w:rPr>
          <w:rFonts w:ascii="Times New Roman" w:hAnsi="Times New Roman"/>
          <w:sz w:val="28"/>
          <w:szCs w:val="28"/>
        </w:rPr>
        <w:t>, Città metropolitane e Comuni che (insieme alle Regioni) svolgono funzioni</w:t>
      </w:r>
      <w:r w:rsidRPr="00E63FB6">
        <w:rPr>
          <w:rFonts w:ascii="Times New Roman" w:hAnsi="Times New Roman"/>
          <w:sz w:val="28"/>
          <w:szCs w:val="28"/>
        </w:rPr>
        <w:t xml:space="preserve"> fondamentali di programmazione e coordinamento a livello territoriale</w:t>
      </w:r>
      <w:r>
        <w:rPr>
          <w:rFonts w:ascii="Times New Roman" w:hAnsi="Times New Roman"/>
          <w:sz w:val="28"/>
          <w:szCs w:val="28"/>
        </w:rPr>
        <w:t xml:space="preserve"> della rete scolastica. </w:t>
      </w:r>
    </w:p>
    <w:p w:rsidR="00AF569A" w:rsidRDefault="00AF569A" w:rsidP="001C72D5">
      <w:pPr>
        <w:ind w:firstLine="708"/>
        <w:jc w:val="both"/>
        <w:rPr>
          <w:rFonts w:ascii="Times New Roman" w:hAnsi="Times New Roman"/>
          <w:sz w:val="28"/>
          <w:szCs w:val="28"/>
        </w:rPr>
      </w:pPr>
      <w:r>
        <w:rPr>
          <w:rFonts w:ascii="Times New Roman" w:hAnsi="Times New Roman"/>
          <w:sz w:val="28"/>
          <w:szCs w:val="28"/>
        </w:rPr>
        <w:lastRenderedPageBreak/>
        <w:t>In questo senso, se da un lato riteniamo positivo investire su una rinnovata autonomia dell’istituzione scolastica, pensiamo che il legame con il territorio, e nel</w:t>
      </w:r>
      <w:r w:rsidR="001F104D">
        <w:rPr>
          <w:rFonts w:ascii="Times New Roman" w:hAnsi="Times New Roman"/>
          <w:sz w:val="28"/>
          <w:szCs w:val="28"/>
        </w:rPr>
        <w:t xml:space="preserve"> caso specifico con le Province e le Città metropolitane </w:t>
      </w:r>
      <w:r>
        <w:rPr>
          <w:rFonts w:ascii="Times New Roman" w:hAnsi="Times New Roman"/>
          <w:sz w:val="28"/>
          <w:szCs w:val="28"/>
        </w:rPr>
        <w:t xml:space="preserve">(che ai sensi della legge 56/2014 svolgono le </w:t>
      </w:r>
      <w:r w:rsidRPr="001C72D5">
        <w:rPr>
          <w:rFonts w:ascii="Times New Roman" w:hAnsi="Times New Roman"/>
          <w:sz w:val="28"/>
          <w:szCs w:val="28"/>
          <w:u w:val="single"/>
        </w:rPr>
        <w:t>funzioni di programmazione della rete scolastica</w:t>
      </w:r>
      <w:r>
        <w:rPr>
          <w:rFonts w:ascii="Times New Roman" w:hAnsi="Times New Roman"/>
          <w:sz w:val="28"/>
          <w:szCs w:val="28"/>
        </w:rPr>
        <w:t xml:space="preserve"> nel rispetto della programmazione regionale, nonché di </w:t>
      </w:r>
      <w:r w:rsidRPr="001C72D5">
        <w:rPr>
          <w:rFonts w:ascii="Times New Roman" w:hAnsi="Times New Roman"/>
          <w:sz w:val="28"/>
          <w:szCs w:val="28"/>
          <w:u w:val="single"/>
        </w:rPr>
        <w:t>gestione dell’edilizia scolastica</w:t>
      </w:r>
      <w:r>
        <w:rPr>
          <w:rFonts w:ascii="Times New Roman" w:hAnsi="Times New Roman"/>
          <w:sz w:val="28"/>
          <w:szCs w:val="28"/>
        </w:rPr>
        <w:t>) vada ancor più valorizzato.</w:t>
      </w:r>
    </w:p>
    <w:p w:rsidR="00AF569A" w:rsidRDefault="00AF569A" w:rsidP="001C72D5">
      <w:pPr>
        <w:ind w:firstLine="708"/>
        <w:jc w:val="both"/>
        <w:rPr>
          <w:rFonts w:ascii="Times New Roman" w:hAnsi="Times New Roman"/>
          <w:sz w:val="28"/>
          <w:szCs w:val="28"/>
        </w:rPr>
      </w:pPr>
      <w:r w:rsidRPr="00173F28">
        <w:rPr>
          <w:rFonts w:ascii="Times New Roman" w:hAnsi="Times New Roman"/>
          <w:sz w:val="28"/>
          <w:szCs w:val="28"/>
        </w:rPr>
        <w:t xml:space="preserve">Si tratta infatti di un rapporto che si esplica nell’esercizio di competenze ovviamente non invasive dell’autonomia didattica e pedagogica ma piuttosto tese a valorizzare il rapporto istruzione/formazione/lavoro/territorio. La nuova configurazione delle Province </w:t>
      </w:r>
      <w:r w:rsidR="001F104D">
        <w:rPr>
          <w:rFonts w:ascii="Times New Roman" w:hAnsi="Times New Roman"/>
          <w:sz w:val="28"/>
          <w:szCs w:val="28"/>
        </w:rPr>
        <w:t xml:space="preserve">e delle Città metropolitane </w:t>
      </w:r>
      <w:r w:rsidRPr="00173F28">
        <w:rPr>
          <w:rFonts w:ascii="Times New Roman" w:hAnsi="Times New Roman"/>
          <w:sz w:val="28"/>
          <w:szCs w:val="28"/>
        </w:rPr>
        <w:t>come istituzioni di secondo grado strettamente collegate ai Comuni del territorio rende i nuovi enti di area vasta la naturale sede di confronto tra i bisogni formativi della comunità territoriale e la capacità di offerta formativa delle istituzioni scolastiche</w:t>
      </w:r>
      <w:r>
        <w:rPr>
          <w:rFonts w:ascii="Times New Roman" w:hAnsi="Times New Roman"/>
          <w:sz w:val="28"/>
          <w:szCs w:val="28"/>
        </w:rPr>
        <w:t>.</w:t>
      </w:r>
    </w:p>
    <w:p w:rsidR="00AF569A" w:rsidRDefault="00AF569A" w:rsidP="001C72D5">
      <w:pPr>
        <w:ind w:firstLine="708"/>
        <w:jc w:val="both"/>
        <w:rPr>
          <w:rFonts w:ascii="Times New Roman" w:hAnsi="Times New Roman"/>
          <w:sz w:val="28"/>
          <w:szCs w:val="28"/>
        </w:rPr>
      </w:pPr>
      <w:r>
        <w:rPr>
          <w:rFonts w:ascii="Times New Roman" w:hAnsi="Times New Roman"/>
          <w:sz w:val="28"/>
          <w:szCs w:val="28"/>
        </w:rPr>
        <w:t>Quanto all’innovazione rappresentata dal nuovo ruolo del Dirigente Scolastico, certamente auspicabile nella prospettiva, rileviamo tuttavia che tale figura abbia bisogno di particolari capacità manageriali non necessariamente riscontrabili nell’immediato considerato anche il depotenziamento degli organi collegiali sui quali invece occorrerebbe un ripensamento.</w:t>
      </w:r>
    </w:p>
    <w:p w:rsidR="00AF569A" w:rsidRDefault="00AF569A" w:rsidP="001C72D5">
      <w:pPr>
        <w:ind w:firstLine="708"/>
        <w:jc w:val="both"/>
        <w:rPr>
          <w:rFonts w:ascii="Times New Roman" w:hAnsi="Times New Roman"/>
          <w:sz w:val="28"/>
          <w:szCs w:val="28"/>
        </w:rPr>
      </w:pPr>
      <w:r>
        <w:rPr>
          <w:rFonts w:ascii="Times New Roman" w:hAnsi="Times New Roman"/>
          <w:sz w:val="28"/>
          <w:szCs w:val="28"/>
        </w:rPr>
        <w:t xml:space="preserve">Infine sottolineiamo unna questione di carattere generale ma di grande valenza: un piano di riforma così profondo e complesso ha bisogno di essere accompagnato da un piano finanziario strutturato e chiaro, che nel </w:t>
      </w:r>
      <w:r w:rsidR="001F104D">
        <w:rPr>
          <w:rFonts w:ascii="Times New Roman" w:hAnsi="Times New Roman"/>
          <w:sz w:val="28"/>
          <w:szCs w:val="28"/>
        </w:rPr>
        <w:t>DDL</w:t>
      </w:r>
      <w:r>
        <w:rPr>
          <w:rFonts w:ascii="Times New Roman" w:hAnsi="Times New Roman"/>
          <w:sz w:val="28"/>
          <w:szCs w:val="28"/>
        </w:rPr>
        <w:t xml:space="preserve"> non riscontriamo. </w:t>
      </w:r>
    </w:p>
    <w:p w:rsidR="00AF569A" w:rsidRDefault="00AF569A" w:rsidP="001C72D5">
      <w:pPr>
        <w:ind w:firstLine="708"/>
        <w:jc w:val="both"/>
        <w:rPr>
          <w:rFonts w:ascii="Times New Roman" w:hAnsi="Times New Roman"/>
          <w:sz w:val="28"/>
          <w:szCs w:val="28"/>
        </w:rPr>
      </w:pPr>
      <w:r>
        <w:rPr>
          <w:rFonts w:ascii="Times New Roman" w:hAnsi="Times New Roman"/>
          <w:sz w:val="28"/>
          <w:szCs w:val="28"/>
        </w:rPr>
        <w:t xml:space="preserve">Per la stessa ragione, pur considerando positivo  l’aver inserito il tema dell’edilizia scolastica all’interno di questa riforma, non possiamo non rilevare come manchi ancora un piano strutturale dell’edilizia scolastica, richiesta che </w:t>
      </w:r>
      <w:proofErr w:type="spellStart"/>
      <w:r>
        <w:rPr>
          <w:rFonts w:ascii="Times New Roman" w:hAnsi="Times New Roman"/>
          <w:sz w:val="28"/>
          <w:szCs w:val="28"/>
        </w:rPr>
        <w:t>l’Upi</w:t>
      </w:r>
      <w:proofErr w:type="spellEnd"/>
      <w:r>
        <w:rPr>
          <w:rFonts w:ascii="Times New Roman" w:hAnsi="Times New Roman"/>
          <w:sz w:val="28"/>
          <w:szCs w:val="28"/>
        </w:rPr>
        <w:t>, come è noto, sollecita da tempo.</w:t>
      </w:r>
    </w:p>
    <w:p w:rsidR="00317DAA" w:rsidRDefault="00AF569A" w:rsidP="001C72D5">
      <w:pPr>
        <w:ind w:firstLine="708"/>
        <w:jc w:val="both"/>
        <w:rPr>
          <w:rFonts w:ascii="Times New Roman" w:hAnsi="Times New Roman"/>
          <w:sz w:val="28"/>
          <w:szCs w:val="28"/>
        </w:rPr>
      </w:pPr>
      <w:r>
        <w:rPr>
          <w:rFonts w:ascii="Times New Roman" w:hAnsi="Times New Roman"/>
          <w:sz w:val="28"/>
          <w:szCs w:val="28"/>
        </w:rPr>
        <w:t xml:space="preserve">Riservandoci un ulteriore approfondimento e anticipando l’invio di proposte </w:t>
      </w:r>
      <w:r w:rsidR="001F104D">
        <w:rPr>
          <w:rFonts w:ascii="Times New Roman" w:hAnsi="Times New Roman"/>
          <w:sz w:val="28"/>
          <w:szCs w:val="28"/>
        </w:rPr>
        <w:t xml:space="preserve">emendative </w:t>
      </w:r>
      <w:r>
        <w:rPr>
          <w:rFonts w:ascii="Times New Roman" w:hAnsi="Times New Roman"/>
          <w:sz w:val="28"/>
          <w:szCs w:val="28"/>
        </w:rPr>
        <w:t xml:space="preserve">mirate a questa commissione, intendiamo evidenziare alcune questioni di maggior rilevanza per il sistema delle </w:t>
      </w:r>
      <w:r w:rsidR="001F104D">
        <w:rPr>
          <w:rFonts w:ascii="Times New Roman" w:hAnsi="Times New Roman"/>
          <w:sz w:val="28"/>
          <w:szCs w:val="28"/>
        </w:rPr>
        <w:t>Autonomie locali</w:t>
      </w:r>
      <w:r>
        <w:rPr>
          <w:rFonts w:ascii="Times New Roman" w:hAnsi="Times New Roman"/>
          <w:sz w:val="28"/>
          <w:szCs w:val="28"/>
        </w:rPr>
        <w:t>.</w:t>
      </w:r>
    </w:p>
    <w:p w:rsidR="00317DAA" w:rsidRDefault="00317DAA">
      <w:pPr>
        <w:spacing w:after="0" w:line="240" w:lineRule="auto"/>
        <w:rPr>
          <w:rFonts w:ascii="Times New Roman" w:hAnsi="Times New Roman"/>
          <w:sz w:val="28"/>
          <w:szCs w:val="28"/>
        </w:rPr>
      </w:pPr>
      <w:r>
        <w:rPr>
          <w:rFonts w:ascii="Times New Roman" w:hAnsi="Times New Roman"/>
          <w:sz w:val="28"/>
          <w:szCs w:val="28"/>
        </w:rPr>
        <w:br w:type="page"/>
      </w:r>
    </w:p>
    <w:p w:rsidR="00AF569A" w:rsidRPr="001F104D" w:rsidRDefault="00317DAA" w:rsidP="001C72D5">
      <w:pPr>
        <w:ind w:firstLine="708"/>
        <w:jc w:val="both"/>
        <w:rPr>
          <w:rFonts w:ascii="Times New Roman" w:hAnsi="Times New Roman"/>
          <w:b/>
          <w:sz w:val="28"/>
          <w:szCs w:val="28"/>
          <w:u w:val="single"/>
        </w:rPr>
      </w:pPr>
      <w:r>
        <w:rPr>
          <w:rFonts w:ascii="Times New Roman" w:hAnsi="Times New Roman"/>
          <w:b/>
          <w:sz w:val="28"/>
          <w:szCs w:val="28"/>
          <w:u w:val="single"/>
        </w:rPr>
        <w:lastRenderedPageBreak/>
        <w:t>PRIME RIFLESSIONI SU</w:t>
      </w:r>
      <w:r w:rsidR="00AF569A" w:rsidRPr="001F104D">
        <w:rPr>
          <w:rFonts w:ascii="Times New Roman" w:hAnsi="Times New Roman"/>
          <w:b/>
          <w:sz w:val="28"/>
          <w:szCs w:val="28"/>
          <w:u w:val="single"/>
        </w:rPr>
        <w:t xml:space="preserve"> ALCUNI ARTICOLI</w:t>
      </w:r>
    </w:p>
    <w:p w:rsidR="00317DAA" w:rsidRDefault="00317DAA" w:rsidP="00251FB7">
      <w:pPr>
        <w:ind w:firstLine="708"/>
        <w:jc w:val="both"/>
        <w:rPr>
          <w:rFonts w:ascii="Times New Roman" w:hAnsi="Times New Roman"/>
          <w:sz w:val="28"/>
          <w:szCs w:val="28"/>
          <w:u w:val="single"/>
        </w:rPr>
      </w:pPr>
    </w:p>
    <w:p w:rsidR="00AF569A" w:rsidRDefault="00AF569A" w:rsidP="00251FB7">
      <w:pPr>
        <w:ind w:firstLine="708"/>
        <w:jc w:val="both"/>
        <w:rPr>
          <w:rFonts w:ascii="Times New Roman" w:hAnsi="Times New Roman"/>
          <w:sz w:val="28"/>
          <w:szCs w:val="28"/>
        </w:rPr>
      </w:pPr>
      <w:r w:rsidRPr="00317DAA">
        <w:rPr>
          <w:rFonts w:ascii="Times New Roman" w:hAnsi="Times New Roman"/>
          <w:b/>
          <w:i/>
          <w:sz w:val="28"/>
          <w:szCs w:val="28"/>
          <w:u w:val="single"/>
        </w:rPr>
        <w:t>Articolo 2 Piano triennale</w:t>
      </w:r>
      <w:r>
        <w:rPr>
          <w:rFonts w:ascii="Times New Roman" w:hAnsi="Times New Roman"/>
          <w:sz w:val="28"/>
          <w:szCs w:val="28"/>
        </w:rPr>
        <w:t>: il Piano Triennale dell’offerta formativa che deve essere predisposto dal Dirigente scolastico e che tocca, tra le altre cose,  aspetti molto rilevanti per il territorio come ad esempio l’ apertura pomeridiana delle scuole, l’incremento dell’alternanza scuola lavoro, iniziative di contrasto del fenomeno della dispersione scolastica ecc.) non può che essere predisposto con il necessario (e non eventuale come si dice al comma 9) coinvolgimento della Provincia</w:t>
      </w:r>
      <w:r w:rsidR="001F104D">
        <w:rPr>
          <w:rFonts w:ascii="Times New Roman" w:hAnsi="Times New Roman"/>
          <w:sz w:val="28"/>
          <w:szCs w:val="28"/>
        </w:rPr>
        <w:t>, della Città metropolitana e dei Comuni</w:t>
      </w:r>
      <w:r>
        <w:rPr>
          <w:rFonts w:ascii="Times New Roman" w:hAnsi="Times New Roman"/>
          <w:sz w:val="28"/>
          <w:szCs w:val="28"/>
        </w:rPr>
        <w:t xml:space="preserve">. </w:t>
      </w:r>
    </w:p>
    <w:p w:rsidR="00AF569A" w:rsidRDefault="00AF569A" w:rsidP="00251FB7">
      <w:pPr>
        <w:ind w:firstLine="708"/>
        <w:jc w:val="both"/>
        <w:rPr>
          <w:rFonts w:ascii="Times New Roman" w:hAnsi="Times New Roman"/>
          <w:sz w:val="28"/>
          <w:szCs w:val="28"/>
        </w:rPr>
      </w:pPr>
      <w:r w:rsidRPr="00317DAA">
        <w:rPr>
          <w:rFonts w:ascii="Times New Roman" w:hAnsi="Times New Roman"/>
          <w:b/>
          <w:i/>
          <w:sz w:val="28"/>
          <w:szCs w:val="28"/>
          <w:u w:val="single"/>
        </w:rPr>
        <w:t xml:space="preserve">Articolo 4 </w:t>
      </w:r>
      <w:r w:rsidR="00317DAA">
        <w:rPr>
          <w:rFonts w:ascii="Times New Roman" w:hAnsi="Times New Roman"/>
          <w:b/>
          <w:i/>
          <w:sz w:val="28"/>
          <w:szCs w:val="28"/>
          <w:u w:val="single"/>
        </w:rPr>
        <w:t>A</w:t>
      </w:r>
      <w:r w:rsidRPr="00317DAA">
        <w:rPr>
          <w:rFonts w:ascii="Times New Roman" w:hAnsi="Times New Roman"/>
          <w:b/>
          <w:i/>
          <w:sz w:val="28"/>
          <w:szCs w:val="28"/>
          <w:u w:val="single"/>
        </w:rPr>
        <w:t>lternanza scuola-lavoro</w:t>
      </w:r>
      <w:r>
        <w:rPr>
          <w:rFonts w:ascii="Times New Roman" w:hAnsi="Times New Roman"/>
          <w:sz w:val="28"/>
          <w:szCs w:val="28"/>
          <w:u w:val="single"/>
        </w:rPr>
        <w:t>:</w:t>
      </w:r>
      <w:r>
        <w:rPr>
          <w:rFonts w:ascii="Times New Roman" w:hAnsi="Times New Roman"/>
          <w:sz w:val="28"/>
          <w:szCs w:val="28"/>
        </w:rPr>
        <w:t xml:space="preserve"> </w:t>
      </w:r>
      <w:r w:rsidRPr="00251FB7">
        <w:rPr>
          <w:rFonts w:ascii="Times New Roman" w:hAnsi="Times New Roman"/>
          <w:sz w:val="28"/>
          <w:szCs w:val="28"/>
        </w:rPr>
        <w:t xml:space="preserve"> </w:t>
      </w:r>
      <w:r>
        <w:rPr>
          <w:rFonts w:ascii="Times New Roman" w:hAnsi="Times New Roman"/>
          <w:sz w:val="28"/>
          <w:szCs w:val="28"/>
        </w:rPr>
        <w:t>riteniamo positi</w:t>
      </w:r>
      <w:r w:rsidR="00173F28">
        <w:rPr>
          <w:rFonts w:ascii="Times New Roman" w:hAnsi="Times New Roman"/>
          <w:sz w:val="28"/>
          <w:szCs w:val="28"/>
        </w:rPr>
        <w:t>vo che questo tema su cui come UPI</w:t>
      </w:r>
      <w:r>
        <w:rPr>
          <w:rFonts w:ascii="Times New Roman" w:hAnsi="Times New Roman"/>
          <w:sz w:val="28"/>
          <w:szCs w:val="28"/>
        </w:rPr>
        <w:t xml:space="preserve"> anche in sede di audizioni parlamentari avevamo posto l’attenzione sia stato colto opportunamente nel DDL.  Al fine di garantire una maggiore efficacia a questo strumento indispensabile è necessario però rafforzare il legame con il territorio per una sempre maggiore integrazione tra le politiche formative/istruzione /lavoro. In questo senso suggeriamo l’opportunità di non trascurare le potenzialità rappresentate dai 550 Centri per l’impiego che potrebbero in questo ambito essere un valido supporto.</w:t>
      </w:r>
    </w:p>
    <w:p w:rsidR="00AF569A" w:rsidRDefault="00AF569A" w:rsidP="001D7781">
      <w:pPr>
        <w:ind w:firstLine="708"/>
        <w:jc w:val="both"/>
        <w:rPr>
          <w:rFonts w:ascii="Times New Roman" w:hAnsi="Times New Roman"/>
          <w:sz w:val="28"/>
          <w:szCs w:val="28"/>
        </w:rPr>
      </w:pPr>
      <w:r w:rsidRPr="00317DAA">
        <w:rPr>
          <w:rFonts w:ascii="Times New Roman" w:hAnsi="Times New Roman"/>
          <w:b/>
          <w:i/>
          <w:sz w:val="28"/>
          <w:szCs w:val="28"/>
          <w:u w:val="single"/>
        </w:rPr>
        <w:t>Articolo 5 Innovazione digitale e didattica laboratoriale</w:t>
      </w:r>
      <w:r>
        <w:rPr>
          <w:rFonts w:ascii="Times New Roman" w:hAnsi="Times New Roman"/>
          <w:sz w:val="28"/>
          <w:szCs w:val="28"/>
        </w:rPr>
        <w:t>:  valutiamo favorevolmente l’adozione di un Piano Nazionale Scuola Digitale, tuttavia pensiamo che vada necessariamente raccordato non solo con la programmazione europea e regionale ma anche con gli investimenti che gli enti locali fanno sull’innovazione tecnologica degli edifici scolastici e nei territori.  In questo senso appare opportuno verificare che la dotazione finanziaria riservata a questa azione sia sufficiente a coprire un piano così strategico.</w:t>
      </w:r>
    </w:p>
    <w:p w:rsidR="00AF569A" w:rsidRPr="00075C81" w:rsidRDefault="00AF569A" w:rsidP="00075C81">
      <w:pPr>
        <w:ind w:firstLine="708"/>
        <w:jc w:val="both"/>
        <w:rPr>
          <w:rFonts w:ascii="Times New Roman" w:hAnsi="Times New Roman"/>
          <w:sz w:val="28"/>
          <w:szCs w:val="28"/>
          <w:u w:val="single"/>
        </w:rPr>
      </w:pPr>
      <w:r w:rsidRPr="00317DAA">
        <w:rPr>
          <w:rFonts w:ascii="Times New Roman" w:hAnsi="Times New Roman"/>
          <w:b/>
          <w:i/>
          <w:sz w:val="28"/>
          <w:szCs w:val="28"/>
          <w:u w:val="single"/>
        </w:rPr>
        <w:t>Articolo 6 Organico   dell’autonomia   per   l’attuazione dei  piani  triennali  dell’offerta  formativa</w:t>
      </w:r>
      <w:r w:rsidRPr="00173F28">
        <w:rPr>
          <w:rFonts w:ascii="Times New Roman" w:hAnsi="Times New Roman"/>
          <w:sz w:val="28"/>
          <w:szCs w:val="28"/>
        </w:rPr>
        <w:t>: la regionalizzazione della gestione del personale  delle istituzioni scolastiche autonome in capo agli uffici scolatici regionali deve prevedere i necessari raccordi con le rappresentanze delle istituzioni locali al fine consentire una più approfondita verifica dei fabbisogni di personale nei diversi territori in coerenza con lo sviluppo della rete delle istituzioni scolastiche.</w:t>
      </w:r>
    </w:p>
    <w:p w:rsidR="00AF569A" w:rsidRDefault="00AF569A" w:rsidP="00A66F18">
      <w:pPr>
        <w:ind w:firstLine="708"/>
        <w:jc w:val="both"/>
        <w:rPr>
          <w:rFonts w:ascii="Times New Roman" w:hAnsi="Times New Roman"/>
          <w:sz w:val="28"/>
          <w:szCs w:val="28"/>
        </w:rPr>
      </w:pPr>
      <w:r w:rsidRPr="00317DAA">
        <w:rPr>
          <w:rFonts w:ascii="Times New Roman" w:hAnsi="Times New Roman"/>
          <w:b/>
          <w:i/>
          <w:sz w:val="28"/>
          <w:szCs w:val="28"/>
          <w:u w:val="single"/>
        </w:rPr>
        <w:t>Articolo 14 Open data</w:t>
      </w:r>
      <w:r>
        <w:rPr>
          <w:rFonts w:ascii="Times New Roman" w:hAnsi="Times New Roman"/>
          <w:sz w:val="28"/>
          <w:szCs w:val="28"/>
        </w:rPr>
        <w:t xml:space="preserve">: l’istituzione di un portale unico dei dati della scuola non solo è strategico ma è addirittura indispensabile considerata l’attuale frammentazione dei vari database, spesso non compatibili tra di loro e quindi di difficile consultazione soprattutto per i cittadini. Per questo auspichiamo che in </w:t>
      </w:r>
      <w:r>
        <w:rPr>
          <w:rFonts w:ascii="Times New Roman" w:hAnsi="Times New Roman"/>
          <w:sz w:val="28"/>
          <w:szCs w:val="28"/>
        </w:rPr>
        <w:lastRenderedPageBreak/>
        <w:t>questo portale siano riferiti tutti i dati riconducibili all’istruzione, a partire dall’Anagrafe dell’edilizia scolastica che deve essere con urgenza completata.</w:t>
      </w:r>
    </w:p>
    <w:p w:rsidR="00AF569A" w:rsidRDefault="00AF569A" w:rsidP="00B93FF6">
      <w:pPr>
        <w:ind w:firstLine="708"/>
        <w:jc w:val="both"/>
        <w:rPr>
          <w:rFonts w:ascii="Times New Roman" w:hAnsi="Times New Roman"/>
          <w:sz w:val="28"/>
          <w:szCs w:val="28"/>
        </w:rPr>
      </w:pPr>
      <w:r w:rsidRPr="00317DAA">
        <w:rPr>
          <w:rFonts w:ascii="Times New Roman" w:hAnsi="Times New Roman"/>
          <w:b/>
          <w:i/>
          <w:sz w:val="28"/>
          <w:szCs w:val="28"/>
          <w:u w:val="single"/>
        </w:rPr>
        <w:t>Capo VI  Edilizia scolastica</w:t>
      </w:r>
      <w:r>
        <w:rPr>
          <w:rFonts w:ascii="Times New Roman" w:hAnsi="Times New Roman"/>
          <w:sz w:val="28"/>
          <w:szCs w:val="28"/>
        </w:rPr>
        <w:t>: l’edilizia scolastica è da sempre una  priorità per le Province, confermata dalla legge n.56/2014 che la pone tra le funzioni fondamentali dei nuovi enti di area vasta. E’ indubbio infatti che</w:t>
      </w:r>
      <w:r w:rsidRPr="00477B27">
        <w:rPr>
          <w:rFonts w:ascii="Times New Roman" w:hAnsi="Times New Roman"/>
          <w:sz w:val="28"/>
          <w:szCs w:val="28"/>
        </w:rPr>
        <w:t xml:space="preserve"> la qualità dell’istruzione secondaria, il rapporto tra questa e il mondo del lavoro, sia strettamente legata alla qualità delle strutture scolastiche:  aule, laboratori, palestre, materiale didattico. Scuole moderne e accoglienti possono favorire il percorso di crescita intellettuale dell’alunno, scongiurare la formazione delle cosiddette “classi pollaio” che tanto impattano anche sull’apprendimento dei ragazzi.</w:t>
      </w:r>
      <w:r>
        <w:rPr>
          <w:rFonts w:ascii="Times New Roman" w:hAnsi="Times New Roman"/>
          <w:sz w:val="28"/>
          <w:szCs w:val="28"/>
        </w:rPr>
        <w:t xml:space="preserve"> </w:t>
      </w:r>
    </w:p>
    <w:p w:rsidR="00AF569A" w:rsidRDefault="00AF569A" w:rsidP="00107223">
      <w:pPr>
        <w:jc w:val="both"/>
        <w:rPr>
          <w:rFonts w:ascii="Times New Roman" w:hAnsi="Times New Roman"/>
          <w:sz w:val="28"/>
          <w:szCs w:val="28"/>
        </w:rPr>
      </w:pPr>
      <w:r>
        <w:rPr>
          <w:rFonts w:ascii="Times New Roman" w:hAnsi="Times New Roman"/>
          <w:sz w:val="28"/>
          <w:szCs w:val="28"/>
        </w:rPr>
        <w:t xml:space="preserve">E’ evidente quindi il nostro apprezzamento per la scelta operata di volere prevedere questo Capo proprio all’interno di una riforma organica dell’istruzione italiana, anche rimettendo a sistema le risorse attualmente disperse in troppi rivoli. </w:t>
      </w:r>
    </w:p>
    <w:p w:rsidR="00AF569A" w:rsidRDefault="00AF569A" w:rsidP="00107223">
      <w:pPr>
        <w:jc w:val="both"/>
        <w:rPr>
          <w:rFonts w:ascii="Times New Roman" w:hAnsi="Times New Roman"/>
          <w:sz w:val="28"/>
          <w:szCs w:val="28"/>
        </w:rPr>
      </w:pPr>
      <w:r>
        <w:rPr>
          <w:rFonts w:ascii="Times New Roman" w:hAnsi="Times New Roman"/>
          <w:sz w:val="28"/>
          <w:szCs w:val="28"/>
        </w:rPr>
        <w:t xml:space="preserve">Quello che però si riscontra nel DDL è una mancanza di chiarezza e di strategia complessiva sia rispetto ad una programmazione chiara e pluriennale  degli investimenti – del tutto mancante -  sia rispetto alle fonti e all’ammontare complessivo dei finanziamenti a disposizione. </w:t>
      </w:r>
    </w:p>
    <w:p w:rsidR="00AF569A" w:rsidRDefault="00AF569A" w:rsidP="00107223">
      <w:pPr>
        <w:jc w:val="both"/>
        <w:rPr>
          <w:rFonts w:ascii="Times New Roman" w:hAnsi="Times New Roman"/>
          <w:sz w:val="28"/>
          <w:szCs w:val="28"/>
        </w:rPr>
      </w:pPr>
      <w:r>
        <w:rPr>
          <w:rFonts w:ascii="Times New Roman" w:hAnsi="Times New Roman"/>
          <w:sz w:val="28"/>
          <w:szCs w:val="28"/>
        </w:rPr>
        <w:t xml:space="preserve">In questo senso, il rischio è che gli interventi previsti, non strutturati all’interno di  un vero Piano Nazionale di edilizia, abbiamo effetti estremamente limitati nel tempo e nel territorio. Il ruolo riservato alle Regioni, alle quali è assegnata la piena potestà decisionale rispetto agli interventi da promuovere, può portare alla determinazione di criteri non omogenei sul territorio e pertanto sperequati (attraverso i bandi regionali).  </w:t>
      </w:r>
    </w:p>
    <w:p w:rsidR="00AF569A" w:rsidRDefault="00AF569A" w:rsidP="00C620C8">
      <w:pPr>
        <w:jc w:val="both"/>
        <w:rPr>
          <w:rFonts w:ascii="Times New Roman" w:hAnsi="Times New Roman"/>
          <w:sz w:val="28"/>
          <w:szCs w:val="28"/>
        </w:rPr>
      </w:pPr>
      <w:r>
        <w:rPr>
          <w:rFonts w:ascii="Times New Roman" w:hAnsi="Times New Roman"/>
          <w:sz w:val="28"/>
          <w:szCs w:val="28"/>
        </w:rPr>
        <w:t xml:space="preserve">A riguardo, sarebbe opportuno chiarire meglio le procedure previste dall’articolo 18 in riferimento all’utilizzo dei fondi </w:t>
      </w:r>
      <w:proofErr w:type="spellStart"/>
      <w:r>
        <w:rPr>
          <w:rFonts w:ascii="Times New Roman" w:hAnsi="Times New Roman"/>
          <w:sz w:val="28"/>
          <w:szCs w:val="28"/>
        </w:rPr>
        <w:t>Inail</w:t>
      </w:r>
      <w:proofErr w:type="spellEnd"/>
      <w:r>
        <w:rPr>
          <w:rFonts w:ascii="Times New Roman" w:hAnsi="Times New Roman"/>
          <w:sz w:val="28"/>
          <w:szCs w:val="28"/>
        </w:rPr>
        <w:t xml:space="preserve">. </w:t>
      </w:r>
    </w:p>
    <w:p w:rsidR="00AF569A" w:rsidRDefault="00AF569A" w:rsidP="00C620C8">
      <w:pPr>
        <w:jc w:val="both"/>
        <w:rPr>
          <w:rFonts w:ascii="Times New Roman" w:hAnsi="Times New Roman"/>
          <w:sz w:val="28"/>
          <w:szCs w:val="28"/>
        </w:rPr>
      </w:pPr>
      <w:r>
        <w:rPr>
          <w:rFonts w:ascii="Times New Roman" w:hAnsi="Times New Roman"/>
          <w:sz w:val="28"/>
          <w:szCs w:val="28"/>
        </w:rPr>
        <w:t xml:space="preserve">Così come riteniamo necessario chiedere che sia meglio esplicitato il rapporto tra le disposizioni contenute nel Capo IV e l’impostazione contenuta nella Legge 23/96 (peraltro più volte richiamata nel testo) in particolare rispetto alla pianificazione triennale dell’edilizia scolastica. </w:t>
      </w:r>
    </w:p>
    <w:p w:rsidR="00173F28" w:rsidRDefault="00173F28" w:rsidP="00C620C8">
      <w:pPr>
        <w:jc w:val="both"/>
        <w:rPr>
          <w:rFonts w:ascii="Times New Roman" w:hAnsi="Times New Roman"/>
          <w:sz w:val="28"/>
          <w:szCs w:val="28"/>
        </w:rPr>
      </w:pPr>
      <w:r>
        <w:rPr>
          <w:rFonts w:ascii="Times New Roman" w:hAnsi="Times New Roman"/>
          <w:sz w:val="28"/>
          <w:szCs w:val="28"/>
        </w:rPr>
        <w:t xml:space="preserve">Quanto alle misure previste sul patto di stabilità, pur apprezzando la scelta di intervenire su questo tema, riteniamo </w:t>
      </w:r>
      <w:r w:rsidR="00442372">
        <w:rPr>
          <w:rFonts w:ascii="Times New Roman" w:hAnsi="Times New Roman"/>
          <w:sz w:val="28"/>
          <w:szCs w:val="28"/>
        </w:rPr>
        <w:t xml:space="preserve">necessaria la previsione di </w:t>
      </w:r>
      <w:r>
        <w:rPr>
          <w:rFonts w:ascii="Times New Roman" w:hAnsi="Times New Roman"/>
          <w:sz w:val="28"/>
          <w:szCs w:val="28"/>
        </w:rPr>
        <w:t xml:space="preserve">norme più incisive e strutturali, che definitivamente </w:t>
      </w:r>
      <w:r w:rsidR="00A5359C">
        <w:rPr>
          <w:rFonts w:ascii="Times New Roman" w:hAnsi="Times New Roman"/>
          <w:sz w:val="28"/>
          <w:szCs w:val="28"/>
        </w:rPr>
        <w:t xml:space="preserve">escludano </w:t>
      </w:r>
      <w:r>
        <w:rPr>
          <w:rFonts w:ascii="Times New Roman" w:hAnsi="Times New Roman"/>
          <w:sz w:val="28"/>
          <w:szCs w:val="28"/>
        </w:rPr>
        <w:t xml:space="preserve">gli investimenti in edilizia scolastica </w:t>
      </w:r>
      <w:r w:rsidR="00A5359C">
        <w:rPr>
          <w:rFonts w:ascii="Times New Roman" w:hAnsi="Times New Roman"/>
          <w:sz w:val="28"/>
          <w:szCs w:val="28"/>
        </w:rPr>
        <w:t xml:space="preserve">dai vincoli del patto di stabilità e, partire dal 2016, dai limiti del pareggio di bilancio. </w:t>
      </w:r>
    </w:p>
    <w:p w:rsidR="00AF569A" w:rsidRDefault="00AF569A" w:rsidP="00C620C8">
      <w:pPr>
        <w:jc w:val="both"/>
        <w:rPr>
          <w:rFonts w:ascii="Times New Roman" w:hAnsi="Times New Roman"/>
          <w:sz w:val="28"/>
          <w:szCs w:val="28"/>
        </w:rPr>
      </w:pPr>
      <w:r>
        <w:rPr>
          <w:rFonts w:ascii="Times New Roman" w:hAnsi="Times New Roman"/>
          <w:sz w:val="28"/>
          <w:szCs w:val="28"/>
        </w:rPr>
        <w:t xml:space="preserve">Quanto poi alla gestione degli investimenti previsti dal DDL, ricordiamo il ruolo determinante per la razionalizzazione delle risorse, riservato alle Province dalla </w:t>
      </w:r>
      <w:r>
        <w:rPr>
          <w:rFonts w:ascii="Times New Roman" w:hAnsi="Times New Roman"/>
          <w:sz w:val="28"/>
          <w:szCs w:val="28"/>
        </w:rPr>
        <w:lastRenderedPageBreak/>
        <w:t>Legge 56/14, che individua per i nuovi enti di area vasta (al comma 88) la possibilità di diventare, d’intesa con i Comuni, Stazione Unica Appaltante, di monitoraggio dei contratti di servizio e di organizzazione di concorsi e procedure selettive. Tale ruolo, se valorizzato all’interno di questo provvedimento, consoliderebbe una pratica già di fatto in uso nei territori per quanto attiene l’edilizia scolastica, anche rispetto alla stipula dei contratti di Global service per tutte le scuole di ogni ordine e grado del territorio, con evidenti</w:t>
      </w:r>
      <w:bookmarkStart w:id="0" w:name="_GoBack"/>
      <w:bookmarkEnd w:id="0"/>
      <w:r>
        <w:rPr>
          <w:rFonts w:ascii="Times New Roman" w:hAnsi="Times New Roman"/>
          <w:sz w:val="28"/>
          <w:szCs w:val="28"/>
        </w:rPr>
        <w:t xml:space="preserve"> risparmi.  </w:t>
      </w:r>
    </w:p>
    <w:p w:rsidR="00A5359C" w:rsidRDefault="00A5359C" w:rsidP="00C620C8">
      <w:pPr>
        <w:jc w:val="both"/>
        <w:rPr>
          <w:rFonts w:ascii="Times New Roman" w:hAnsi="Times New Roman"/>
          <w:sz w:val="28"/>
          <w:szCs w:val="28"/>
        </w:rPr>
      </w:pPr>
      <w:r>
        <w:rPr>
          <w:rFonts w:ascii="Times New Roman" w:hAnsi="Times New Roman"/>
          <w:sz w:val="28"/>
          <w:szCs w:val="28"/>
        </w:rPr>
        <w:t xml:space="preserve">Vogliamo poi ricordare che in questi anni, a causa dei vincoli del patto di stabilità e dei tagli ai bilanci degli enti locali, Province e Comuni sono stati costretti a ridurre notevolmente la propria capacità di investimento, in particolare proprio nell’edilizia scolastica. Le forti riduzioni di risorse, poi, hanno inciso nella stessa misura sulla capacità di Province e Comuni di assicurare la </w:t>
      </w:r>
      <w:r w:rsidR="00E52877">
        <w:rPr>
          <w:rFonts w:ascii="Times New Roman" w:hAnsi="Times New Roman"/>
          <w:sz w:val="28"/>
          <w:szCs w:val="28"/>
        </w:rPr>
        <w:t xml:space="preserve">copertura </w:t>
      </w:r>
      <w:r>
        <w:rPr>
          <w:rFonts w:ascii="Times New Roman" w:hAnsi="Times New Roman"/>
          <w:sz w:val="28"/>
          <w:szCs w:val="28"/>
        </w:rPr>
        <w:t xml:space="preserve"> sufficiente per la gestione </w:t>
      </w:r>
      <w:r w:rsidR="00E52877">
        <w:rPr>
          <w:rFonts w:ascii="Times New Roman" w:hAnsi="Times New Roman"/>
          <w:sz w:val="28"/>
          <w:szCs w:val="28"/>
        </w:rPr>
        <w:t xml:space="preserve">e manutenzione </w:t>
      </w:r>
      <w:r>
        <w:rPr>
          <w:rFonts w:ascii="Times New Roman" w:hAnsi="Times New Roman"/>
          <w:sz w:val="28"/>
          <w:szCs w:val="28"/>
        </w:rPr>
        <w:t xml:space="preserve">ordinaria delle scuole. Una tendenza che deve esser invertita, e che invece è confermata nella stessa Legge di stabilità 2015.  </w:t>
      </w:r>
    </w:p>
    <w:sectPr w:rsidR="00A5359C" w:rsidSect="00BD31BA">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69" w:rsidRDefault="00642769" w:rsidP="00317DAA">
      <w:pPr>
        <w:spacing w:after="0" w:line="240" w:lineRule="auto"/>
      </w:pPr>
      <w:r>
        <w:separator/>
      </w:r>
    </w:p>
  </w:endnote>
  <w:endnote w:type="continuationSeparator" w:id="0">
    <w:p w:rsidR="00642769" w:rsidRDefault="00642769" w:rsidP="0031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389365"/>
      <w:docPartObj>
        <w:docPartGallery w:val="Page Numbers (Bottom of Page)"/>
        <w:docPartUnique/>
      </w:docPartObj>
    </w:sdtPr>
    <w:sdtContent>
      <w:p w:rsidR="00317DAA" w:rsidRDefault="00317DAA">
        <w:pPr>
          <w:pStyle w:val="Pidipagina"/>
          <w:jc w:val="right"/>
        </w:pPr>
        <w:r>
          <w:fldChar w:fldCharType="begin"/>
        </w:r>
        <w:r>
          <w:instrText>PAGE   \* MERGEFORMAT</w:instrText>
        </w:r>
        <w:r>
          <w:fldChar w:fldCharType="separate"/>
        </w:r>
        <w:r w:rsidR="00C07F21">
          <w:rPr>
            <w:noProof/>
          </w:rPr>
          <w:t>6</w:t>
        </w:r>
        <w:r>
          <w:fldChar w:fldCharType="end"/>
        </w:r>
      </w:p>
    </w:sdtContent>
  </w:sdt>
  <w:p w:rsidR="00317DAA" w:rsidRDefault="00317DA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69" w:rsidRDefault="00642769" w:rsidP="00317DAA">
      <w:pPr>
        <w:spacing w:after="0" w:line="240" w:lineRule="auto"/>
      </w:pPr>
      <w:r>
        <w:separator/>
      </w:r>
    </w:p>
  </w:footnote>
  <w:footnote w:type="continuationSeparator" w:id="0">
    <w:p w:rsidR="00642769" w:rsidRDefault="00642769" w:rsidP="00317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1095"/>
    <w:multiLevelType w:val="hybridMultilevel"/>
    <w:tmpl w:val="D292E484"/>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nsid w:val="31EB35A0"/>
    <w:multiLevelType w:val="hybridMultilevel"/>
    <w:tmpl w:val="242C297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633669AA"/>
    <w:multiLevelType w:val="hybridMultilevel"/>
    <w:tmpl w:val="6B60C0EE"/>
    <w:lvl w:ilvl="0" w:tplc="7D525A60">
      <w:start w:val="1"/>
      <w:numFmt w:val="decimal"/>
      <w:lvlText w:val="%1."/>
      <w:lvlJc w:val="left"/>
      <w:pPr>
        <w:ind w:left="1080" w:hanging="360"/>
      </w:pPr>
      <w:rPr>
        <w:rFonts w:eastAsia="Times New Roman" w:cs="Times New Roman" w:hint="default"/>
        <w:b w:val="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
    <w:nsid w:val="68DB57EB"/>
    <w:multiLevelType w:val="hybridMultilevel"/>
    <w:tmpl w:val="5B74D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39C720A"/>
    <w:multiLevelType w:val="hybridMultilevel"/>
    <w:tmpl w:val="7A00AD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27"/>
    <w:rsid w:val="00075C81"/>
    <w:rsid w:val="00080DBC"/>
    <w:rsid w:val="000D57E9"/>
    <w:rsid w:val="00107223"/>
    <w:rsid w:val="00134DF2"/>
    <w:rsid w:val="001668F5"/>
    <w:rsid w:val="00173F28"/>
    <w:rsid w:val="001B4F87"/>
    <w:rsid w:val="001B526E"/>
    <w:rsid w:val="001C4962"/>
    <w:rsid w:val="001C5B40"/>
    <w:rsid w:val="001C72D5"/>
    <w:rsid w:val="001D7781"/>
    <w:rsid w:val="001F104D"/>
    <w:rsid w:val="00251FB7"/>
    <w:rsid w:val="00293BD7"/>
    <w:rsid w:val="002A176D"/>
    <w:rsid w:val="00317DAA"/>
    <w:rsid w:val="003451A3"/>
    <w:rsid w:val="00352C40"/>
    <w:rsid w:val="003868CC"/>
    <w:rsid w:val="0039401E"/>
    <w:rsid w:val="003B41F9"/>
    <w:rsid w:val="00415B33"/>
    <w:rsid w:val="00431B73"/>
    <w:rsid w:val="00442372"/>
    <w:rsid w:val="004606EC"/>
    <w:rsid w:val="00477B27"/>
    <w:rsid w:val="00482D1C"/>
    <w:rsid w:val="00485BB5"/>
    <w:rsid w:val="00490519"/>
    <w:rsid w:val="004D495B"/>
    <w:rsid w:val="00506790"/>
    <w:rsid w:val="005140EC"/>
    <w:rsid w:val="00597B99"/>
    <w:rsid w:val="005D5A4F"/>
    <w:rsid w:val="005E0674"/>
    <w:rsid w:val="006108C0"/>
    <w:rsid w:val="00610CF0"/>
    <w:rsid w:val="0063308C"/>
    <w:rsid w:val="00642769"/>
    <w:rsid w:val="00685DFE"/>
    <w:rsid w:val="0068630C"/>
    <w:rsid w:val="00686D80"/>
    <w:rsid w:val="006C353F"/>
    <w:rsid w:val="007878A4"/>
    <w:rsid w:val="00832CB5"/>
    <w:rsid w:val="008D4676"/>
    <w:rsid w:val="00934AE8"/>
    <w:rsid w:val="00956ECC"/>
    <w:rsid w:val="009F39D3"/>
    <w:rsid w:val="00A12C78"/>
    <w:rsid w:val="00A17CA7"/>
    <w:rsid w:val="00A5359C"/>
    <w:rsid w:val="00A66F18"/>
    <w:rsid w:val="00A90C7A"/>
    <w:rsid w:val="00A93ADD"/>
    <w:rsid w:val="00AB1F5A"/>
    <w:rsid w:val="00AE0068"/>
    <w:rsid w:val="00AF569A"/>
    <w:rsid w:val="00B01782"/>
    <w:rsid w:val="00B27D67"/>
    <w:rsid w:val="00B513DD"/>
    <w:rsid w:val="00B93FF6"/>
    <w:rsid w:val="00BD31BA"/>
    <w:rsid w:val="00C07F21"/>
    <w:rsid w:val="00C620C8"/>
    <w:rsid w:val="00CB5289"/>
    <w:rsid w:val="00D020A5"/>
    <w:rsid w:val="00D46E21"/>
    <w:rsid w:val="00DD3B5C"/>
    <w:rsid w:val="00E45A5D"/>
    <w:rsid w:val="00E52877"/>
    <w:rsid w:val="00E52D5F"/>
    <w:rsid w:val="00E62C81"/>
    <w:rsid w:val="00E63FB6"/>
    <w:rsid w:val="00E76DF4"/>
    <w:rsid w:val="00E92856"/>
    <w:rsid w:val="00F016E1"/>
    <w:rsid w:val="00F21C11"/>
    <w:rsid w:val="00F42D13"/>
    <w:rsid w:val="00F65527"/>
    <w:rsid w:val="00FA0CE3"/>
    <w:rsid w:val="00FB6719"/>
    <w:rsid w:val="00FD4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31BA"/>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42D13"/>
    <w:pPr>
      <w:ind w:left="720"/>
      <w:contextualSpacing/>
    </w:pPr>
  </w:style>
  <w:style w:type="paragraph" w:styleId="Testofumetto">
    <w:name w:val="Balloon Text"/>
    <w:basedOn w:val="Normale"/>
    <w:link w:val="TestofumettoCarattere"/>
    <w:uiPriority w:val="99"/>
    <w:semiHidden/>
    <w:rsid w:val="00AE00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E0068"/>
    <w:rPr>
      <w:rFonts w:ascii="Tahoma" w:hAnsi="Tahoma" w:cs="Tahoma"/>
      <w:sz w:val="16"/>
      <w:szCs w:val="16"/>
    </w:rPr>
  </w:style>
  <w:style w:type="paragraph" w:styleId="Intestazione">
    <w:name w:val="header"/>
    <w:basedOn w:val="Normale"/>
    <w:link w:val="IntestazioneCarattere"/>
    <w:uiPriority w:val="99"/>
    <w:unhideWhenUsed/>
    <w:rsid w:val="00317D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7DAA"/>
    <w:rPr>
      <w:lang w:eastAsia="en-US"/>
    </w:rPr>
  </w:style>
  <w:style w:type="paragraph" w:styleId="Pidipagina">
    <w:name w:val="footer"/>
    <w:basedOn w:val="Normale"/>
    <w:link w:val="PidipaginaCarattere"/>
    <w:uiPriority w:val="99"/>
    <w:unhideWhenUsed/>
    <w:rsid w:val="00317D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7DA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31BA"/>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42D13"/>
    <w:pPr>
      <w:ind w:left="720"/>
      <w:contextualSpacing/>
    </w:pPr>
  </w:style>
  <w:style w:type="paragraph" w:styleId="Testofumetto">
    <w:name w:val="Balloon Text"/>
    <w:basedOn w:val="Normale"/>
    <w:link w:val="TestofumettoCarattere"/>
    <w:uiPriority w:val="99"/>
    <w:semiHidden/>
    <w:rsid w:val="00AE006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E0068"/>
    <w:rPr>
      <w:rFonts w:ascii="Tahoma" w:hAnsi="Tahoma" w:cs="Tahoma"/>
      <w:sz w:val="16"/>
      <w:szCs w:val="16"/>
    </w:rPr>
  </w:style>
  <w:style w:type="paragraph" w:styleId="Intestazione">
    <w:name w:val="header"/>
    <w:basedOn w:val="Normale"/>
    <w:link w:val="IntestazioneCarattere"/>
    <w:uiPriority w:val="99"/>
    <w:unhideWhenUsed/>
    <w:rsid w:val="00317D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7DAA"/>
    <w:rPr>
      <w:lang w:eastAsia="en-US"/>
    </w:rPr>
  </w:style>
  <w:style w:type="paragraph" w:styleId="Pidipagina">
    <w:name w:val="footer"/>
    <w:basedOn w:val="Normale"/>
    <w:link w:val="PidipaginaCarattere"/>
    <w:uiPriority w:val="99"/>
    <w:unhideWhenUsed/>
    <w:rsid w:val="00317DA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7D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1616</Words>
  <Characters>9215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Palombo</dc:creator>
  <cp:lastModifiedBy>Barbara Perluigi</cp:lastModifiedBy>
  <cp:revision>5</cp:revision>
  <cp:lastPrinted>2015-04-10T01:54:00Z</cp:lastPrinted>
  <dcterms:created xsi:type="dcterms:W3CDTF">2015-04-10T01:40:00Z</dcterms:created>
  <dcterms:modified xsi:type="dcterms:W3CDTF">2015-04-10T01:58:00Z</dcterms:modified>
</cp:coreProperties>
</file>