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B5" w:rsidRDefault="005C23F3" w:rsidP="005C23F3">
      <w:pPr>
        <w:rPr>
          <w:i/>
        </w:rPr>
      </w:pPr>
      <w:r w:rsidRPr="005C23F3">
        <w:rPr>
          <w:sz w:val="28"/>
          <w:szCs w:val="28"/>
        </w:rPr>
        <w:tab/>
      </w:r>
      <w:r>
        <w:rPr>
          <w:i/>
          <w:noProof/>
        </w:rPr>
        <w:drawing>
          <wp:inline distT="0" distB="0" distL="0" distR="0" wp14:anchorId="36AE99A0" wp14:editId="63486DD5">
            <wp:extent cx="647700" cy="95617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4" cy="973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0233">
        <w:rPr>
          <w:i/>
        </w:rPr>
        <w:tab/>
      </w:r>
      <w:r w:rsidR="002A0233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A0233" w:rsidRPr="001A540C">
        <w:rPr>
          <w:i/>
        </w:rPr>
        <w:object w:dxaOrig="7368" w:dyaOrig="5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75pt" o:ole="">
            <v:imagedata r:id="rId7" o:title=""/>
          </v:shape>
          <o:OLEObject Type="Embed" ProgID="MSPhotoEd.3" ShapeID="_x0000_i1025" DrawAspect="Content" ObjectID="_1551614490" r:id="rId8"/>
        </w:object>
      </w:r>
    </w:p>
    <w:p w:rsidR="002A0233" w:rsidRDefault="002A0233" w:rsidP="00E6118A">
      <w:pPr>
        <w:rPr>
          <w:i/>
        </w:rPr>
      </w:pPr>
    </w:p>
    <w:p w:rsidR="00203C73" w:rsidRPr="00E6118A" w:rsidRDefault="00203C73" w:rsidP="00E6118A">
      <w:pPr>
        <w:rPr>
          <w:sz w:val="28"/>
          <w:szCs w:val="28"/>
        </w:rPr>
      </w:pPr>
    </w:p>
    <w:p w:rsidR="005C23F3" w:rsidRDefault="00DF1F72" w:rsidP="002A0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Nota</w:t>
      </w:r>
      <w:r w:rsidR="005C23F3">
        <w:rPr>
          <w:b/>
          <w:sz w:val="36"/>
          <w:szCs w:val="36"/>
        </w:rPr>
        <w:t xml:space="preserve"> incontro con </w:t>
      </w:r>
      <w:r>
        <w:rPr>
          <w:b/>
          <w:sz w:val="36"/>
          <w:szCs w:val="36"/>
        </w:rPr>
        <w:t xml:space="preserve">Ministero del lavoro e delle Politiche sociali </w:t>
      </w:r>
    </w:p>
    <w:p w:rsidR="007C25AE" w:rsidRDefault="005C23F3" w:rsidP="00FA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“</w:t>
      </w:r>
      <w:r w:rsidRPr="00A70DC5">
        <w:rPr>
          <w:b/>
          <w:sz w:val="36"/>
          <w:szCs w:val="36"/>
          <w:u w:val="single"/>
        </w:rPr>
        <w:t>Problematiche in merito ai Centri per l’Impiego</w:t>
      </w:r>
      <w:r w:rsidRPr="00A70DC5">
        <w:rPr>
          <w:b/>
          <w:sz w:val="36"/>
          <w:szCs w:val="36"/>
        </w:rPr>
        <w:t>”</w:t>
      </w:r>
    </w:p>
    <w:p w:rsidR="0096149E" w:rsidRPr="007C25AE" w:rsidRDefault="007C25AE" w:rsidP="00FA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b/>
        </w:rPr>
      </w:pPr>
      <w:r w:rsidRPr="007C25AE">
        <w:rPr>
          <w:b/>
        </w:rPr>
        <w:t>Roma 21 marzo 2017</w:t>
      </w:r>
    </w:p>
    <w:p w:rsidR="002A0233" w:rsidRDefault="002A0233" w:rsidP="005C23F3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C23F3" w:rsidRPr="004F4FE8" w:rsidRDefault="005C23F3" w:rsidP="004F4FE8">
      <w:pPr>
        <w:pStyle w:val="Paragrafoelenco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4F4FE8">
        <w:rPr>
          <w:b/>
          <w:sz w:val="28"/>
          <w:szCs w:val="28"/>
          <w:u w:val="single"/>
        </w:rPr>
        <w:t>PREMESSA</w:t>
      </w:r>
      <w:r w:rsidR="00050984" w:rsidRPr="004F4FE8">
        <w:rPr>
          <w:b/>
          <w:sz w:val="28"/>
          <w:szCs w:val="28"/>
          <w:u w:val="single"/>
        </w:rPr>
        <w:t xml:space="preserve"> DI CONTESTO</w:t>
      </w:r>
    </w:p>
    <w:p w:rsidR="002A0233" w:rsidRPr="00A70DC5" w:rsidRDefault="002A0233" w:rsidP="005C23F3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264A69" w:rsidRDefault="004950FE" w:rsidP="005C23F3">
      <w:pPr>
        <w:spacing w:line="276" w:lineRule="auto"/>
        <w:jc w:val="both"/>
        <w:rPr>
          <w:sz w:val="28"/>
          <w:szCs w:val="28"/>
        </w:rPr>
      </w:pPr>
      <w:r w:rsidRPr="004B6369">
        <w:rPr>
          <w:sz w:val="28"/>
          <w:szCs w:val="28"/>
        </w:rPr>
        <w:t>Il Mercato del lavoro è un settor</w:t>
      </w:r>
      <w:r w:rsidR="00CD5BB5">
        <w:rPr>
          <w:sz w:val="28"/>
          <w:szCs w:val="28"/>
        </w:rPr>
        <w:t>e in profonda trasformazione</w:t>
      </w:r>
      <w:r w:rsidR="004B6369" w:rsidRPr="004B6369">
        <w:rPr>
          <w:sz w:val="28"/>
          <w:szCs w:val="28"/>
        </w:rPr>
        <w:t xml:space="preserve"> su cui occorre investire</w:t>
      </w:r>
      <w:r w:rsidR="005D72D6">
        <w:rPr>
          <w:sz w:val="28"/>
          <w:szCs w:val="28"/>
        </w:rPr>
        <w:t xml:space="preserve"> anche</w:t>
      </w:r>
      <w:r w:rsidR="004B6369" w:rsidRPr="004B6369">
        <w:rPr>
          <w:sz w:val="28"/>
          <w:szCs w:val="28"/>
        </w:rPr>
        <w:t xml:space="preserve"> per adeguare il nostro sistema dei servizi agli standard europei e alle reali esigenze. </w:t>
      </w:r>
    </w:p>
    <w:p w:rsidR="00D54A87" w:rsidRDefault="00552293" w:rsidP="009B72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="004B6369" w:rsidRPr="008A2B0C">
        <w:rPr>
          <w:sz w:val="28"/>
          <w:szCs w:val="28"/>
        </w:rPr>
        <w:t xml:space="preserve"> riforma complessiva </w:t>
      </w:r>
      <w:r w:rsidR="0048486E">
        <w:rPr>
          <w:sz w:val="28"/>
          <w:szCs w:val="28"/>
        </w:rPr>
        <w:t xml:space="preserve">in tal senso </w:t>
      </w:r>
      <w:r w:rsidR="004B6369" w:rsidRPr="008A2B0C">
        <w:rPr>
          <w:sz w:val="28"/>
          <w:szCs w:val="28"/>
        </w:rPr>
        <w:t>avviata con il “Jobs act”</w:t>
      </w:r>
      <w:r w:rsidR="00A70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 lasciato </w:t>
      </w:r>
      <w:r w:rsidR="0048486E">
        <w:rPr>
          <w:sz w:val="28"/>
          <w:szCs w:val="28"/>
        </w:rPr>
        <w:t xml:space="preserve">tuttavia </w:t>
      </w:r>
      <w:r>
        <w:rPr>
          <w:sz w:val="28"/>
          <w:szCs w:val="28"/>
        </w:rPr>
        <w:t xml:space="preserve">una </w:t>
      </w:r>
      <w:r w:rsidR="00264A69">
        <w:rPr>
          <w:sz w:val="28"/>
          <w:szCs w:val="28"/>
        </w:rPr>
        <w:t xml:space="preserve">indeterminatezza </w:t>
      </w:r>
      <w:r>
        <w:rPr>
          <w:sz w:val="28"/>
          <w:szCs w:val="28"/>
        </w:rPr>
        <w:t xml:space="preserve">di fondo </w:t>
      </w:r>
      <w:r w:rsidR="00D54A87">
        <w:rPr>
          <w:sz w:val="28"/>
          <w:szCs w:val="28"/>
        </w:rPr>
        <w:t>riguardo al</w:t>
      </w:r>
      <w:r w:rsidR="004B6369" w:rsidRPr="008A2B0C">
        <w:rPr>
          <w:sz w:val="28"/>
          <w:szCs w:val="28"/>
        </w:rPr>
        <w:t xml:space="preserve"> modello di </w:t>
      </w:r>
      <w:proofErr w:type="spellStart"/>
      <w:r w:rsidR="004B6369" w:rsidRPr="008A2B0C">
        <w:rPr>
          <w:sz w:val="28"/>
          <w:szCs w:val="28"/>
        </w:rPr>
        <w:t>governance</w:t>
      </w:r>
      <w:proofErr w:type="spellEnd"/>
      <w:r w:rsidR="004B6369" w:rsidRPr="008A2B0C">
        <w:rPr>
          <w:sz w:val="28"/>
          <w:szCs w:val="28"/>
        </w:rPr>
        <w:t xml:space="preserve"> </w:t>
      </w:r>
      <w:r w:rsidR="00050984">
        <w:rPr>
          <w:sz w:val="28"/>
          <w:szCs w:val="28"/>
        </w:rPr>
        <w:t xml:space="preserve">che si </w:t>
      </w:r>
      <w:r>
        <w:rPr>
          <w:sz w:val="28"/>
          <w:szCs w:val="28"/>
        </w:rPr>
        <w:t>è venuto</w:t>
      </w:r>
      <w:r w:rsidR="00050984">
        <w:rPr>
          <w:sz w:val="28"/>
          <w:szCs w:val="28"/>
        </w:rPr>
        <w:t xml:space="preserve"> </w:t>
      </w:r>
      <w:r w:rsidR="00264A69">
        <w:rPr>
          <w:sz w:val="28"/>
          <w:szCs w:val="28"/>
        </w:rPr>
        <w:t xml:space="preserve">a </w:t>
      </w:r>
      <w:r w:rsidR="0048486E">
        <w:rPr>
          <w:sz w:val="28"/>
          <w:szCs w:val="28"/>
        </w:rPr>
        <w:t>creare</w:t>
      </w:r>
      <w:r w:rsidR="00264A69">
        <w:rPr>
          <w:sz w:val="28"/>
          <w:szCs w:val="28"/>
        </w:rPr>
        <w:t xml:space="preserve"> </w:t>
      </w:r>
      <w:r w:rsidR="004B6369" w:rsidRPr="008A2B0C">
        <w:rPr>
          <w:sz w:val="28"/>
          <w:szCs w:val="28"/>
        </w:rPr>
        <w:t xml:space="preserve">in questo settore </w:t>
      </w:r>
      <w:r>
        <w:rPr>
          <w:sz w:val="28"/>
          <w:szCs w:val="28"/>
        </w:rPr>
        <w:t>che sta comportando seri</w:t>
      </w:r>
      <w:r w:rsidR="004B6369" w:rsidRPr="008A2B0C">
        <w:rPr>
          <w:sz w:val="28"/>
          <w:szCs w:val="28"/>
        </w:rPr>
        <w:t xml:space="preserve"> </w:t>
      </w:r>
      <w:r w:rsidR="00F35D90">
        <w:rPr>
          <w:sz w:val="28"/>
          <w:szCs w:val="28"/>
        </w:rPr>
        <w:t xml:space="preserve">problemi di funzionalità ed efficienza </w:t>
      </w:r>
      <w:r w:rsidR="004B6369" w:rsidRPr="008A2B0C">
        <w:rPr>
          <w:sz w:val="28"/>
          <w:szCs w:val="28"/>
        </w:rPr>
        <w:t>d</w:t>
      </w:r>
      <w:r w:rsidR="0048486E">
        <w:rPr>
          <w:sz w:val="28"/>
          <w:szCs w:val="28"/>
        </w:rPr>
        <w:t xml:space="preserve">ei Centri per l’impiego di cui </w:t>
      </w:r>
      <w:r w:rsidR="004B6369" w:rsidRPr="008A2B0C">
        <w:rPr>
          <w:sz w:val="28"/>
          <w:szCs w:val="28"/>
        </w:rPr>
        <w:t xml:space="preserve">le Province </w:t>
      </w:r>
      <w:r w:rsidR="005D72D6">
        <w:rPr>
          <w:sz w:val="28"/>
          <w:szCs w:val="28"/>
        </w:rPr>
        <w:t>e</w:t>
      </w:r>
      <w:r w:rsidR="004B6369" w:rsidRPr="008A2B0C">
        <w:rPr>
          <w:sz w:val="28"/>
          <w:szCs w:val="28"/>
        </w:rPr>
        <w:t xml:space="preserve"> poi le Città met</w:t>
      </w:r>
      <w:r w:rsidR="00606F14">
        <w:rPr>
          <w:sz w:val="28"/>
          <w:szCs w:val="28"/>
        </w:rPr>
        <w:t xml:space="preserve">ropolitane sono state titolari </w:t>
      </w:r>
      <w:r w:rsidR="00050984">
        <w:rPr>
          <w:sz w:val="28"/>
          <w:szCs w:val="28"/>
        </w:rPr>
        <w:t>per oltre 15 anni (la legge n.56/2014 non li ricomprende infatti come è noto tra le funzioni fondamentali)</w:t>
      </w:r>
      <w:r w:rsidR="00F17FE3">
        <w:rPr>
          <w:sz w:val="28"/>
          <w:szCs w:val="28"/>
        </w:rPr>
        <w:t xml:space="preserve"> e </w:t>
      </w:r>
      <w:r w:rsidR="00050984">
        <w:rPr>
          <w:sz w:val="28"/>
          <w:szCs w:val="28"/>
        </w:rPr>
        <w:t>che</w:t>
      </w:r>
      <w:r w:rsidR="009B72CB" w:rsidRPr="009B72CB">
        <w:rPr>
          <w:sz w:val="28"/>
          <w:szCs w:val="28"/>
        </w:rPr>
        <w:t xml:space="preserve"> oggi </w:t>
      </w:r>
      <w:r w:rsidR="00F17FE3">
        <w:rPr>
          <w:sz w:val="28"/>
          <w:szCs w:val="28"/>
        </w:rPr>
        <w:t>c</w:t>
      </w:r>
      <w:r w:rsidR="00050984">
        <w:rPr>
          <w:sz w:val="28"/>
          <w:szCs w:val="28"/>
        </w:rPr>
        <w:t>ontinuano</w:t>
      </w:r>
      <w:r w:rsidR="00D54A87">
        <w:rPr>
          <w:sz w:val="28"/>
          <w:szCs w:val="28"/>
        </w:rPr>
        <w:t xml:space="preserve"> a gestire in via transitoria.</w:t>
      </w:r>
    </w:p>
    <w:p w:rsidR="002A0233" w:rsidRDefault="0048486E" w:rsidP="009B72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Infatti, n</w:t>
      </w:r>
      <w:r w:rsidRPr="0048486E">
        <w:rPr>
          <w:sz w:val="28"/>
          <w:szCs w:val="28"/>
        </w:rPr>
        <w:t>onostante l’incertezza del contesto istituzionale connesso al riordino delle funzioni in materia di politiche per il lavoro</w:t>
      </w:r>
      <w:r>
        <w:rPr>
          <w:sz w:val="28"/>
          <w:szCs w:val="28"/>
        </w:rPr>
        <w:t>,</w:t>
      </w:r>
      <w:r w:rsidRPr="0048486E">
        <w:rPr>
          <w:sz w:val="28"/>
          <w:szCs w:val="28"/>
        </w:rPr>
        <w:t xml:space="preserve"> le Province e le Città metropolitane sono gli enti che, con senso di responsabilità e tra tante difficoltà, hanno continuato e continuano ad assicurare l’erogazione d</w:t>
      </w:r>
      <w:r w:rsidR="00F17FE3">
        <w:rPr>
          <w:sz w:val="28"/>
          <w:szCs w:val="28"/>
        </w:rPr>
        <w:t xml:space="preserve">i questo servizio ai cittadini </w:t>
      </w:r>
      <w:r>
        <w:rPr>
          <w:sz w:val="28"/>
          <w:szCs w:val="28"/>
        </w:rPr>
        <w:t xml:space="preserve">eppure non sono mai stati coinvolti nelle decisioni importanti che sono state assunte sempre </w:t>
      </w:r>
      <w:r w:rsidR="00D54A87">
        <w:rPr>
          <w:sz w:val="28"/>
          <w:szCs w:val="28"/>
        </w:rPr>
        <w:t xml:space="preserve">senza di noi </w:t>
      </w:r>
      <w:r>
        <w:rPr>
          <w:sz w:val="28"/>
          <w:szCs w:val="28"/>
        </w:rPr>
        <w:t>(in Conferenza Stato Regioni o in incontri Ministero-Regioni a cui noi non siamo mai stati coinvolti).</w:t>
      </w:r>
    </w:p>
    <w:p w:rsidR="002A0233" w:rsidRDefault="002A0233" w:rsidP="009B72CB">
      <w:pPr>
        <w:spacing w:line="276" w:lineRule="auto"/>
        <w:jc w:val="both"/>
        <w:rPr>
          <w:sz w:val="28"/>
          <w:szCs w:val="28"/>
        </w:rPr>
      </w:pPr>
    </w:p>
    <w:p w:rsidR="002A0233" w:rsidRDefault="0048486E" w:rsidP="0063482E">
      <w:pPr>
        <w:pStyle w:val="Paragrafoelenco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E92456">
        <w:rPr>
          <w:b/>
          <w:sz w:val="28"/>
          <w:szCs w:val="28"/>
          <w:u w:val="single"/>
        </w:rPr>
        <w:t>CONSIDERAZIONI DI PROSPETTIVA</w:t>
      </w:r>
    </w:p>
    <w:p w:rsidR="00E92456" w:rsidRPr="00E92456" w:rsidRDefault="00E92456" w:rsidP="00E92456">
      <w:pPr>
        <w:pStyle w:val="Paragrafoelenco"/>
        <w:spacing w:line="276" w:lineRule="auto"/>
        <w:jc w:val="both"/>
        <w:rPr>
          <w:b/>
          <w:sz w:val="28"/>
          <w:szCs w:val="28"/>
          <w:u w:val="single"/>
        </w:rPr>
      </w:pPr>
    </w:p>
    <w:p w:rsidR="00475FE2" w:rsidRPr="002F5AFC" w:rsidRDefault="0048486E" w:rsidP="0048486E">
      <w:pPr>
        <w:spacing w:line="276" w:lineRule="auto"/>
        <w:jc w:val="both"/>
        <w:rPr>
          <w:sz w:val="28"/>
          <w:szCs w:val="28"/>
        </w:rPr>
      </w:pPr>
      <w:r w:rsidRPr="005B0E8B">
        <w:rPr>
          <w:sz w:val="28"/>
          <w:szCs w:val="28"/>
        </w:rPr>
        <w:t>In questo contesto</w:t>
      </w:r>
      <w:r w:rsidR="00AA7199">
        <w:rPr>
          <w:sz w:val="28"/>
          <w:szCs w:val="28"/>
        </w:rPr>
        <w:t>, oggi,</w:t>
      </w:r>
      <w:r w:rsidR="00B95F2C">
        <w:rPr>
          <w:sz w:val="28"/>
          <w:szCs w:val="28"/>
        </w:rPr>
        <w:t xml:space="preserve"> dopo la manca</w:t>
      </w:r>
      <w:r w:rsidR="00440D4E">
        <w:rPr>
          <w:sz w:val="28"/>
          <w:szCs w:val="28"/>
        </w:rPr>
        <w:t>ta</w:t>
      </w:r>
      <w:r w:rsidR="00B95F2C">
        <w:rPr>
          <w:sz w:val="28"/>
          <w:szCs w:val="28"/>
        </w:rPr>
        <w:t xml:space="preserve"> approvazione del referendum costituzionale con il quale si voleva intervenire sul riparto delle competenze legislative in questo settor</w:t>
      </w:r>
      <w:r w:rsidR="002F5AFC">
        <w:rPr>
          <w:sz w:val="28"/>
          <w:szCs w:val="28"/>
        </w:rPr>
        <w:t>e riassumendo in capo alla legislazione esclusiva dello Stato la materia delle politiche attive</w:t>
      </w:r>
      <w:r w:rsidR="00AA7199">
        <w:rPr>
          <w:sz w:val="28"/>
          <w:szCs w:val="28"/>
        </w:rPr>
        <w:t xml:space="preserve">, </w:t>
      </w:r>
      <w:r w:rsidR="00AA7199" w:rsidRPr="002F5AFC">
        <w:rPr>
          <w:sz w:val="28"/>
          <w:szCs w:val="28"/>
        </w:rPr>
        <w:t>riteniamo urgente chiarire innanzitutto quale sarà il punto di approdo di questa fase transitoria ch</w:t>
      </w:r>
      <w:r w:rsidR="00631BC6" w:rsidRPr="002F5AFC">
        <w:rPr>
          <w:sz w:val="28"/>
          <w:szCs w:val="28"/>
        </w:rPr>
        <w:t xml:space="preserve">e si è prolungata anche troppo e che vede una serie di soggetti in campo (lo Stato, le Regioni, le Province e le Città metropolitane) senza il disegno di una puntuale </w:t>
      </w:r>
      <w:proofErr w:type="spellStart"/>
      <w:r w:rsidR="00631BC6" w:rsidRPr="002F5AFC">
        <w:rPr>
          <w:sz w:val="28"/>
          <w:szCs w:val="28"/>
        </w:rPr>
        <w:t>governance</w:t>
      </w:r>
      <w:proofErr w:type="spellEnd"/>
      <w:r w:rsidR="00631BC6" w:rsidRPr="002F5AFC">
        <w:rPr>
          <w:sz w:val="28"/>
          <w:szCs w:val="28"/>
        </w:rPr>
        <w:t xml:space="preserve"> </w:t>
      </w:r>
      <w:proofErr w:type="spellStart"/>
      <w:r w:rsidR="00631BC6" w:rsidRPr="002F5AFC">
        <w:rPr>
          <w:sz w:val="28"/>
          <w:szCs w:val="28"/>
        </w:rPr>
        <w:t>territorale</w:t>
      </w:r>
      <w:proofErr w:type="spellEnd"/>
      <w:r w:rsidR="00631BC6" w:rsidRPr="002F5AFC">
        <w:rPr>
          <w:sz w:val="28"/>
          <w:szCs w:val="28"/>
        </w:rPr>
        <w:t xml:space="preserve">. </w:t>
      </w:r>
      <w:r w:rsidR="00AA7199" w:rsidRPr="002F5AFC">
        <w:rPr>
          <w:sz w:val="28"/>
          <w:szCs w:val="28"/>
        </w:rPr>
        <w:t xml:space="preserve">Non possiamo continuare a lasciare in </w:t>
      </w:r>
      <w:r w:rsidR="00AA7199" w:rsidRPr="002F5AFC">
        <w:rPr>
          <w:sz w:val="28"/>
          <w:szCs w:val="28"/>
        </w:rPr>
        <w:lastRenderedPageBreak/>
        <w:t xml:space="preserve">un confuso limbo queste strutture che svolgono un ruolo fondamentale in un settore, qual è quello del mercato del lavoro, che </w:t>
      </w:r>
      <w:r w:rsidR="00631BC6" w:rsidRPr="002F5AFC">
        <w:rPr>
          <w:sz w:val="28"/>
          <w:szCs w:val="28"/>
        </w:rPr>
        <w:t xml:space="preserve">ancora oggi, nonostante il Jobs act e gli incentivi di sostegno per le assunzioni, è ancora in sofferenza. </w:t>
      </w:r>
    </w:p>
    <w:p w:rsidR="00A10F6F" w:rsidRPr="002F5AFC" w:rsidRDefault="00FA4569" w:rsidP="0048486E">
      <w:pPr>
        <w:spacing w:line="276" w:lineRule="auto"/>
        <w:jc w:val="both"/>
        <w:rPr>
          <w:sz w:val="28"/>
          <w:szCs w:val="28"/>
        </w:rPr>
      </w:pPr>
      <w:r w:rsidRPr="002F5AFC">
        <w:rPr>
          <w:sz w:val="28"/>
          <w:szCs w:val="28"/>
        </w:rPr>
        <w:t xml:space="preserve">Abbiamo preso atto della </w:t>
      </w:r>
      <w:r w:rsidR="0048486E" w:rsidRPr="002F5AFC">
        <w:rPr>
          <w:sz w:val="28"/>
          <w:szCs w:val="28"/>
        </w:rPr>
        <w:t xml:space="preserve">costituzione dell’Agenzia nazionale ANPAL </w:t>
      </w:r>
      <w:r w:rsidR="0096149E" w:rsidRPr="002F5AFC">
        <w:rPr>
          <w:sz w:val="28"/>
          <w:szCs w:val="28"/>
        </w:rPr>
        <w:t>(</w:t>
      </w:r>
      <w:r w:rsidR="0048486E" w:rsidRPr="002F5AFC">
        <w:rPr>
          <w:sz w:val="28"/>
          <w:szCs w:val="28"/>
        </w:rPr>
        <w:t xml:space="preserve">il 1° gennaio 2016 </w:t>
      </w:r>
      <w:r w:rsidR="0096149E" w:rsidRPr="002F5AFC">
        <w:rPr>
          <w:sz w:val="28"/>
          <w:szCs w:val="28"/>
        </w:rPr>
        <w:t>ai sensi del d.lgs. n.150/2015)</w:t>
      </w:r>
      <w:r w:rsidR="0048486E" w:rsidRPr="002F5AFC">
        <w:rPr>
          <w:sz w:val="28"/>
          <w:szCs w:val="28"/>
        </w:rPr>
        <w:t xml:space="preserve"> che assume il ruolo di </w:t>
      </w:r>
      <w:r w:rsidR="0048486E" w:rsidRPr="002F5AFC">
        <w:rPr>
          <w:sz w:val="28"/>
          <w:szCs w:val="28"/>
          <w:u w:val="single"/>
        </w:rPr>
        <w:t>coordinamento della rete dei servizi per le politiche del lavoro</w:t>
      </w:r>
      <w:r w:rsidR="0048486E" w:rsidRPr="002F5AFC">
        <w:rPr>
          <w:sz w:val="28"/>
          <w:szCs w:val="28"/>
        </w:rPr>
        <w:t xml:space="preserve"> (formata da strutture regionali per le politiche attive del lavoro, INPS, INAIL, Agenzie per il lavoro, </w:t>
      </w:r>
      <w:r w:rsidR="00F17FE3" w:rsidRPr="002F5AFC">
        <w:rPr>
          <w:sz w:val="28"/>
          <w:szCs w:val="28"/>
        </w:rPr>
        <w:t xml:space="preserve">fondi interprofessionali, </w:t>
      </w:r>
      <w:r w:rsidR="0048486E" w:rsidRPr="002F5AFC">
        <w:rPr>
          <w:sz w:val="28"/>
          <w:szCs w:val="28"/>
        </w:rPr>
        <w:t>l’ISFOL, Italia Lavoro S.p.A., Camere di commercio, università ed istituti di scuola secondaria di secondo grado) con l’obiettivo di predisporre interventi e servizi volti a migliorare l'eff</w:t>
      </w:r>
      <w:r w:rsidR="002A0233" w:rsidRPr="002F5AFC">
        <w:rPr>
          <w:sz w:val="28"/>
          <w:szCs w:val="28"/>
        </w:rPr>
        <w:t xml:space="preserve">icienza del mercato del lavoro, </w:t>
      </w:r>
      <w:r w:rsidRPr="002F5AFC">
        <w:rPr>
          <w:sz w:val="28"/>
          <w:szCs w:val="28"/>
        </w:rPr>
        <w:t>ma senza un quadro certo delle competenze,</w:t>
      </w:r>
      <w:r w:rsidR="002A0233" w:rsidRPr="002F5AFC">
        <w:rPr>
          <w:sz w:val="28"/>
          <w:szCs w:val="28"/>
        </w:rPr>
        <w:t xml:space="preserve"> </w:t>
      </w:r>
      <w:r w:rsidRPr="002F5AFC">
        <w:rPr>
          <w:sz w:val="28"/>
          <w:szCs w:val="28"/>
        </w:rPr>
        <w:t xml:space="preserve">senza una chiara </w:t>
      </w:r>
      <w:r w:rsidR="0048486E" w:rsidRPr="002F5AFC">
        <w:rPr>
          <w:sz w:val="28"/>
          <w:szCs w:val="28"/>
        </w:rPr>
        <w:t xml:space="preserve">GOVERNANCE COMPLESSIVA DEL </w:t>
      </w:r>
      <w:r w:rsidRPr="002F5AFC">
        <w:rPr>
          <w:sz w:val="28"/>
          <w:szCs w:val="28"/>
        </w:rPr>
        <w:t>MERCATO DEL LAVORO TERRITORIALE, non possiamo aspettarci grandi risultati.</w:t>
      </w:r>
    </w:p>
    <w:p w:rsidR="003E68AD" w:rsidRPr="00440D4E" w:rsidRDefault="00FA4569" w:rsidP="003E68A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440D4E">
        <w:rPr>
          <w:b/>
          <w:sz w:val="28"/>
          <w:szCs w:val="28"/>
          <w:u w:val="single"/>
        </w:rPr>
        <w:t>Questa incertezza dovuta al prorogarsi di questa fase transitoria, in carenza di risorse e personale, sta infatti pregiudicando pesantemente l’efficacia delle funzioni dei Centri per l’Impego (</w:t>
      </w:r>
      <w:r w:rsidR="003E68AD" w:rsidRPr="00440D4E">
        <w:rPr>
          <w:b/>
          <w:sz w:val="28"/>
          <w:szCs w:val="28"/>
          <w:u w:val="single"/>
        </w:rPr>
        <w:t xml:space="preserve">servizi di collocamento e preselezione; promozione di iniziative e interventi di politiche attive del lavoro sul territorio; coordinamento territoriale per informare in modo integrato sulle attività di formazione e orientamento, </w:t>
      </w:r>
      <w:r w:rsidRPr="00440D4E">
        <w:rPr>
          <w:b/>
          <w:sz w:val="28"/>
          <w:szCs w:val="28"/>
          <w:u w:val="single"/>
        </w:rPr>
        <w:t>collocamento mirato,</w:t>
      </w:r>
      <w:r w:rsidR="003E68AD" w:rsidRPr="00440D4E">
        <w:rPr>
          <w:b/>
          <w:sz w:val="28"/>
          <w:szCs w:val="28"/>
          <w:u w:val="single"/>
        </w:rPr>
        <w:t xml:space="preserve"> </w:t>
      </w:r>
      <w:r w:rsidRPr="00440D4E">
        <w:rPr>
          <w:b/>
          <w:sz w:val="28"/>
          <w:szCs w:val="28"/>
          <w:u w:val="single"/>
        </w:rPr>
        <w:t>i</w:t>
      </w:r>
      <w:r w:rsidR="003E68AD" w:rsidRPr="00440D4E">
        <w:rPr>
          <w:b/>
          <w:sz w:val="28"/>
          <w:szCs w:val="28"/>
          <w:u w:val="single"/>
        </w:rPr>
        <w:t>nserimento lavorativo disabili,</w:t>
      </w:r>
      <w:r w:rsidRPr="00440D4E">
        <w:rPr>
          <w:b/>
          <w:sz w:val="28"/>
          <w:szCs w:val="28"/>
          <w:u w:val="single"/>
        </w:rPr>
        <w:t>, ecc...); inoltre, proprio sui centri per l’impiego, si incentrano oggi misure importanti di cont</w:t>
      </w:r>
      <w:r w:rsidR="003E68AD" w:rsidRPr="00440D4E">
        <w:rPr>
          <w:b/>
          <w:sz w:val="28"/>
          <w:szCs w:val="28"/>
          <w:u w:val="single"/>
        </w:rPr>
        <w:t>rasto alla povertà come il SIA,– Sostegno di inclusione attiva gestito dai Comuni,</w:t>
      </w:r>
      <w:r w:rsidRPr="00440D4E">
        <w:rPr>
          <w:b/>
          <w:sz w:val="28"/>
          <w:szCs w:val="28"/>
          <w:u w:val="single"/>
        </w:rPr>
        <w:t xml:space="preserve"> che presuppone la concessione di un beneficio economico finalizzato alla partecipazione ad un progetto di inclusione attiva, e proprio questa parte così innovativa rischia di venire compromessa.</w:t>
      </w:r>
    </w:p>
    <w:p w:rsidR="00FA6694" w:rsidRDefault="00FA6694" w:rsidP="0048486E">
      <w:pPr>
        <w:spacing w:line="276" w:lineRule="auto"/>
        <w:jc w:val="both"/>
        <w:rPr>
          <w:sz w:val="28"/>
          <w:szCs w:val="28"/>
        </w:rPr>
      </w:pPr>
    </w:p>
    <w:p w:rsidR="00203C73" w:rsidRPr="00440D4E" w:rsidRDefault="005414F9" w:rsidP="009B72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Oggi </w:t>
      </w:r>
      <w:r w:rsidR="00FA6694">
        <w:rPr>
          <w:sz w:val="28"/>
          <w:szCs w:val="28"/>
        </w:rPr>
        <w:t xml:space="preserve">dunque, a Costituzione vigente, è necessario e urgente </w:t>
      </w:r>
      <w:r w:rsidR="00FA6694" w:rsidRPr="00FA6694">
        <w:rPr>
          <w:sz w:val="28"/>
          <w:szCs w:val="28"/>
        </w:rPr>
        <w:t>riflettere in maniera approfondita tutti insieme finalmente (e questa riunione è già un passo importante</w:t>
      </w:r>
      <w:r w:rsidR="00FA6694">
        <w:rPr>
          <w:sz w:val="28"/>
          <w:szCs w:val="28"/>
        </w:rPr>
        <w:t xml:space="preserve"> perché sinora non ci siamo mai seduti al tavolo con voi</w:t>
      </w:r>
      <w:r w:rsidR="00FA6694" w:rsidRPr="00FA6694">
        <w:rPr>
          <w:sz w:val="28"/>
          <w:szCs w:val="28"/>
        </w:rPr>
        <w:t>) riguardo al modello di servizi territoria</w:t>
      </w:r>
      <w:r w:rsidR="00FA6694">
        <w:rPr>
          <w:sz w:val="28"/>
          <w:szCs w:val="28"/>
        </w:rPr>
        <w:t xml:space="preserve">li che si ritiene più </w:t>
      </w:r>
      <w:r w:rsidR="001A5CF4">
        <w:rPr>
          <w:sz w:val="28"/>
          <w:szCs w:val="28"/>
        </w:rPr>
        <w:t>idoneo per una</w:t>
      </w:r>
      <w:r w:rsidR="00FA6694">
        <w:rPr>
          <w:sz w:val="28"/>
          <w:szCs w:val="28"/>
        </w:rPr>
        <w:t xml:space="preserve"> gestione efficace </w:t>
      </w:r>
      <w:r w:rsidR="001A5CF4">
        <w:rPr>
          <w:sz w:val="28"/>
          <w:szCs w:val="28"/>
        </w:rPr>
        <w:t xml:space="preserve">dei </w:t>
      </w:r>
      <w:r w:rsidR="00FA6694">
        <w:rPr>
          <w:sz w:val="28"/>
          <w:szCs w:val="28"/>
        </w:rPr>
        <w:t>centri per l’</w:t>
      </w:r>
      <w:r w:rsidR="001A5CF4">
        <w:rPr>
          <w:sz w:val="28"/>
          <w:szCs w:val="28"/>
        </w:rPr>
        <w:t>impiego</w:t>
      </w:r>
      <w:r w:rsidR="00440D4E">
        <w:rPr>
          <w:sz w:val="28"/>
          <w:szCs w:val="28"/>
        </w:rPr>
        <w:t xml:space="preserve"> quali </w:t>
      </w:r>
      <w:r w:rsidR="00FA6694" w:rsidRPr="00FA6694">
        <w:rPr>
          <w:sz w:val="28"/>
          <w:szCs w:val="28"/>
        </w:rPr>
        <w:t>snod</w:t>
      </w:r>
      <w:r w:rsidR="00FA6694">
        <w:rPr>
          <w:sz w:val="28"/>
          <w:szCs w:val="28"/>
        </w:rPr>
        <w:t>i</w:t>
      </w:r>
      <w:r w:rsidR="00FA6694" w:rsidRPr="00FA6694">
        <w:rPr>
          <w:sz w:val="28"/>
          <w:szCs w:val="28"/>
        </w:rPr>
        <w:t xml:space="preserve"> </w:t>
      </w:r>
      <w:r w:rsidR="001A5CF4">
        <w:rPr>
          <w:sz w:val="28"/>
          <w:szCs w:val="28"/>
        </w:rPr>
        <w:t xml:space="preserve">fondamentali </w:t>
      </w:r>
      <w:r w:rsidR="00440D4E">
        <w:rPr>
          <w:sz w:val="28"/>
          <w:szCs w:val="28"/>
        </w:rPr>
        <w:t>-incardinati a livello dell’area vasta provinciale e metropolitana-</w:t>
      </w:r>
      <w:r w:rsidR="00440D4E" w:rsidRPr="00FA6694">
        <w:rPr>
          <w:sz w:val="28"/>
          <w:szCs w:val="28"/>
        </w:rPr>
        <w:t xml:space="preserve"> </w:t>
      </w:r>
      <w:r w:rsidR="00FA6694" w:rsidRPr="00FA6694">
        <w:rPr>
          <w:sz w:val="28"/>
          <w:szCs w:val="28"/>
        </w:rPr>
        <w:t>di erogazione del servizio amministrativo del collocamento e del</w:t>
      </w:r>
      <w:r w:rsidR="001A5CF4">
        <w:rPr>
          <w:sz w:val="28"/>
          <w:szCs w:val="28"/>
        </w:rPr>
        <w:t>le politiche attive del lavoro, nazionali e regionali</w:t>
      </w:r>
      <w:r w:rsidR="00440D4E">
        <w:rPr>
          <w:sz w:val="28"/>
          <w:szCs w:val="28"/>
        </w:rPr>
        <w:t xml:space="preserve">. </w:t>
      </w:r>
      <w:r w:rsidR="001A5CF4">
        <w:rPr>
          <w:sz w:val="28"/>
          <w:szCs w:val="28"/>
        </w:rPr>
        <w:t>Si</w:t>
      </w:r>
      <w:r w:rsidR="00FA6694" w:rsidRPr="00FA6694">
        <w:rPr>
          <w:sz w:val="28"/>
          <w:szCs w:val="28"/>
        </w:rPr>
        <w:t xml:space="preserve"> tratta di servizi che vanno necessariamente potenziati e sostenuti per affrontare adeguatamente il ruolo che gli compete.</w:t>
      </w:r>
      <w:r w:rsidR="00FA6694">
        <w:rPr>
          <w:sz w:val="28"/>
          <w:szCs w:val="28"/>
        </w:rPr>
        <w:t xml:space="preserve"> In questo quadro</w:t>
      </w:r>
      <w:r w:rsidR="00440D4E">
        <w:rPr>
          <w:sz w:val="28"/>
          <w:szCs w:val="28"/>
        </w:rPr>
        <w:t xml:space="preserve">, a nostro avviso, una loro regionalizzazione determinerebbe </w:t>
      </w:r>
      <w:r w:rsidR="00585AEF">
        <w:rPr>
          <w:sz w:val="28"/>
          <w:szCs w:val="28"/>
        </w:rPr>
        <w:t xml:space="preserve">oltre ad </w:t>
      </w:r>
      <w:r w:rsidRPr="002F5AFC">
        <w:rPr>
          <w:sz w:val="28"/>
          <w:szCs w:val="28"/>
        </w:rPr>
        <w:t>un sovraccarico di funzioni e responsabilità</w:t>
      </w:r>
      <w:r w:rsidR="00585AEF">
        <w:rPr>
          <w:sz w:val="28"/>
          <w:szCs w:val="28"/>
        </w:rPr>
        <w:t xml:space="preserve">, </w:t>
      </w:r>
      <w:r w:rsidR="00585AEF" w:rsidRPr="00585AEF">
        <w:rPr>
          <w:sz w:val="28"/>
          <w:szCs w:val="28"/>
          <w:u w:val="single"/>
        </w:rPr>
        <w:t>una situazione unica</w:t>
      </w:r>
      <w:r w:rsidRPr="00585AEF">
        <w:rPr>
          <w:sz w:val="28"/>
          <w:szCs w:val="28"/>
          <w:u w:val="single"/>
        </w:rPr>
        <w:t xml:space="preserve"> in Europa </w:t>
      </w:r>
      <w:r w:rsidR="00FA6694">
        <w:rPr>
          <w:sz w:val="28"/>
          <w:szCs w:val="28"/>
          <w:u w:val="single"/>
        </w:rPr>
        <w:t xml:space="preserve">con </w:t>
      </w:r>
      <w:r w:rsidR="001A5CF4">
        <w:rPr>
          <w:sz w:val="28"/>
          <w:szCs w:val="28"/>
          <w:u w:val="single"/>
        </w:rPr>
        <w:t>sistemi che prevedo</w:t>
      </w:r>
      <w:r w:rsidRPr="00585AEF">
        <w:rPr>
          <w:sz w:val="28"/>
          <w:szCs w:val="28"/>
          <w:u w:val="single"/>
        </w:rPr>
        <w:t xml:space="preserve">no </w:t>
      </w:r>
      <w:r w:rsidR="00FA6694">
        <w:rPr>
          <w:sz w:val="28"/>
          <w:szCs w:val="28"/>
          <w:u w:val="single"/>
        </w:rPr>
        <w:t>Regioni/</w:t>
      </w:r>
      <w:r w:rsidRPr="00585AEF">
        <w:rPr>
          <w:sz w:val="28"/>
          <w:szCs w:val="28"/>
          <w:u w:val="single"/>
        </w:rPr>
        <w:t>agenzie regionali che programmano, gestiscono</w:t>
      </w:r>
      <w:r w:rsidRPr="002F5AFC">
        <w:rPr>
          <w:sz w:val="28"/>
          <w:szCs w:val="28"/>
          <w:u w:val="single"/>
        </w:rPr>
        <w:t xml:space="preserve"> ed erogano politiche attive e servizi per l’impiego, su standard e logiche peraltro diverse, con un mero coordinamento nazionale</w:t>
      </w:r>
      <w:r w:rsidR="00440D4E">
        <w:rPr>
          <w:sz w:val="28"/>
          <w:szCs w:val="28"/>
        </w:rPr>
        <w:t>.</w:t>
      </w:r>
    </w:p>
    <w:p w:rsidR="00050984" w:rsidRDefault="00050984" w:rsidP="004F4FE8">
      <w:pPr>
        <w:pStyle w:val="Paragrafoelenco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440D4E">
        <w:rPr>
          <w:b/>
          <w:sz w:val="32"/>
          <w:szCs w:val="28"/>
          <w:u w:val="single"/>
        </w:rPr>
        <w:lastRenderedPageBreak/>
        <w:t>LA FASE TRANSITORIA (ANNI 2015-2017)</w:t>
      </w:r>
      <w:r w:rsidR="00F76D97" w:rsidRPr="00440D4E">
        <w:rPr>
          <w:b/>
          <w:sz w:val="32"/>
          <w:szCs w:val="28"/>
          <w:u w:val="single"/>
        </w:rPr>
        <w:t xml:space="preserve"> E LE CRITICITA’ DA </w:t>
      </w:r>
      <w:r w:rsidR="00F76D97" w:rsidRPr="004F4FE8">
        <w:rPr>
          <w:b/>
          <w:sz w:val="28"/>
          <w:szCs w:val="28"/>
          <w:u w:val="single"/>
        </w:rPr>
        <w:t>RISOLVERE</w:t>
      </w:r>
    </w:p>
    <w:p w:rsidR="00440D4E" w:rsidRDefault="00440D4E" w:rsidP="00440D4E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440D4E" w:rsidRPr="00440D4E" w:rsidRDefault="00440D4E" w:rsidP="00440D4E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440D4E">
        <w:rPr>
          <w:b/>
          <w:i/>
          <w:sz w:val="28"/>
          <w:szCs w:val="28"/>
          <w:u w:val="single"/>
        </w:rPr>
        <w:t>IL BIENNIO 2015-2016</w:t>
      </w:r>
    </w:p>
    <w:p w:rsidR="00E92456" w:rsidRDefault="00440D4E" w:rsidP="008D6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 l’</w:t>
      </w:r>
      <w:r w:rsidR="00E92456">
        <w:rPr>
          <w:sz w:val="28"/>
          <w:szCs w:val="28"/>
        </w:rPr>
        <w:t>accordo-</w:t>
      </w:r>
      <w:r>
        <w:rPr>
          <w:sz w:val="28"/>
          <w:szCs w:val="28"/>
        </w:rPr>
        <w:t xml:space="preserve">quadro sottoscritto in sede di </w:t>
      </w:r>
      <w:r w:rsidR="00E92456">
        <w:rPr>
          <w:sz w:val="28"/>
          <w:szCs w:val="28"/>
        </w:rPr>
        <w:t xml:space="preserve">Conferenza Stato Regioni il 30 luglio 2015, il Governo e le Regioni si sono fatte carico di garantire nella fase transitoria la continuità del funzionamento dei </w:t>
      </w:r>
      <w:r w:rsidR="008A5D2C">
        <w:rPr>
          <w:sz w:val="28"/>
          <w:szCs w:val="28"/>
        </w:rPr>
        <w:t xml:space="preserve">550 </w:t>
      </w:r>
      <w:r w:rsidR="00E92456">
        <w:rPr>
          <w:sz w:val="28"/>
          <w:szCs w:val="28"/>
        </w:rPr>
        <w:t>Centri per l’</w:t>
      </w:r>
      <w:r w:rsidR="008A5D2C">
        <w:rPr>
          <w:sz w:val="28"/>
          <w:szCs w:val="28"/>
        </w:rPr>
        <w:t xml:space="preserve">impiego e del personale </w:t>
      </w:r>
      <w:r w:rsidR="00E92456">
        <w:rPr>
          <w:sz w:val="28"/>
          <w:szCs w:val="28"/>
        </w:rPr>
        <w:t>in essi impiegato in capo a Province e Città metropolitane</w:t>
      </w:r>
      <w:r w:rsidR="008A5D2C">
        <w:rPr>
          <w:sz w:val="28"/>
          <w:szCs w:val="28"/>
        </w:rPr>
        <w:t xml:space="preserve"> (5</w:t>
      </w:r>
      <w:r w:rsidR="00E92456">
        <w:rPr>
          <w:sz w:val="28"/>
          <w:szCs w:val="28"/>
        </w:rPr>
        <w:t>.</w:t>
      </w:r>
      <w:r w:rsidR="008A5D2C">
        <w:rPr>
          <w:sz w:val="28"/>
          <w:szCs w:val="28"/>
        </w:rPr>
        <w:t>505 unità così come da tabella allegata).</w:t>
      </w:r>
    </w:p>
    <w:p w:rsidR="007E1716" w:rsidRPr="007E1716" w:rsidRDefault="007E1716" w:rsidP="007E17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 tale riguardo, Governo e Regioni si sono impegnate a</w:t>
      </w:r>
      <w:r w:rsidRPr="007E1716">
        <w:rPr>
          <w:sz w:val="28"/>
          <w:szCs w:val="28"/>
        </w:rPr>
        <w:t xml:space="preserve"> “reperire le risorse per i costi del personale a </w:t>
      </w:r>
      <w:r w:rsidRPr="007E1716">
        <w:rPr>
          <w:sz w:val="28"/>
          <w:szCs w:val="28"/>
          <w:u w:val="single"/>
        </w:rPr>
        <w:t>tempo indeterminato</w:t>
      </w:r>
      <w:r w:rsidRPr="007E1716">
        <w:rPr>
          <w:sz w:val="28"/>
          <w:szCs w:val="28"/>
        </w:rPr>
        <w:t>, nella proporzione di 2/3 a carico del Governo e 1/3 a carico delle Regioni per gli anni 2015 e 2016.</w:t>
      </w:r>
    </w:p>
    <w:p w:rsidR="007E1716" w:rsidRDefault="007E1716" w:rsidP="007E1716">
      <w:pPr>
        <w:spacing w:line="276" w:lineRule="auto"/>
        <w:jc w:val="both"/>
        <w:rPr>
          <w:sz w:val="28"/>
          <w:szCs w:val="28"/>
        </w:rPr>
      </w:pPr>
      <w:r w:rsidRPr="007E1716">
        <w:rPr>
          <w:sz w:val="28"/>
          <w:szCs w:val="28"/>
        </w:rPr>
        <w:t>Complessivamente si tratta dunque di 140 milioni di euro stanziati dal Governo</w:t>
      </w:r>
      <w:r>
        <w:rPr>
          <w:sz w:val="28"/>
          <w:szCs w:val="28"/>
        </w:rPr>
        <w:t xml:space="preserve"> </w:t>
      </w:r>
      <w:r w:rsidRPr="007E1716">
        <w:t>(90 milioni previsti dal DL 78/2015 più 50 milioni individuati nel d.lgs. 150/2015)</w:t>
      </w:r>
      <w:r w:rsidRPr="007E1716">
        <w:rPr>
          <w:sz w:val="28"/>
          <w:szCs w:val="28"/>
        </w:rPr>
        <w:t xml:space="preserve"> per il 2015 e 140 per il 2016 ai quali, sulla bas</w:t>
      </w:r>
      <w:r>
        <w:rPr>
          <w:sz w:val="28"/>
          <w:szCs w:val="28"/>
        </w:rPr>
        <w:t>e dell’Accordo del 30 luglio,</w:t>
      </w:r>
      <w:r w:rsidRPr="007E1716">
        <w:rPr>
          <w:sz w:val="28"/>
          <w:szCs w:val="28"/>
        </w:rPr>
        <w:t xml:space="preserve"> devono sommarsi gli ulteriori 70 milioni di euro a carico delle Regioni.</w:t>
      </w:r>
    </w:p>
    <w:p w:rsidR="007E1716" w:rsidRPr="0096149E" w:rsidRDefault="007E1716" w:rsidP="007E1716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</w:t>
      </w:r>
      <w:r w:rsidRPr="0096149E">
        <w:rPr>
          <w:sz w:val="28"/>
          <w:szCs w:val="28"/>
        </w:rPr>
        <w:t>indispensabile</w:t>
      </w:r>
      <w:r>
        <w:rPr>
          <w:sz w:val="28"/>
          <w:szCs w:val="28"/>
        </w:rPr>
        <w:t xml:space="preserve"> però oggi</w:t>
      </w:r>
      <w:r w:rsidRPr="0096149E">
        <w:rPr>
          <w:sz w:val="28"/>
          <w:szCs w:val="28"/>
        </w:rPr>
        <w:t xml:space="preserve"> sottolineare la criticità, </w:t>
      </w:r>
      <w:r w:rsidRPr="00B33CCC">
        <w:rPr>
          <w:sz w:val="28"/>
          <w:szCs w:val="28"/>
          <w:u w:val="single"/>
        </w:rPr>
        <w:t xml:space="preserve">ormai emergenza, </w:t>
      </w:r>
      <w:r w:rsidRPr="0096149E">
        <w:rPr>
          <w:sz w:val="28"/>
          <w:szCs w:val="28"/>
        </w:rPr>
        <w:t>che riguarda tutte le Province</w:t>
      </w:r>
      <w:r>
        <w:rPr>
          <w:sz w:val="28"/>
          <w:szCs w:val="28"/>
        </w:rPr>
        <w:t xml:space="preserve"> e CM in merito alla</w:t>
      </w:r>
      <w:r w:rsidRPr="0096149E">
        <w:rPr>
          <w:sz w:val="28"/>
          <w:szCs w:val="28"/>
        </w:rPr>
        <w:t xml:space="preserve"> copertura delle spese dei Centri per l’impiego.</w:t>
      </w:r>
    </w:p>
    <w:p w:rsidR="007E1716" w:rsidRPr="007E1716" w:rsidRDefault="007E1716" w:rsidP="007E17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Quanto stabilito infatti nell’accordo del 30 luglio 2015 </w:t>
      </w:r>
      <w:r w:rsidRPr="007E1716">
        <w:rPr>
          <w:sz w:val="28"/>
          <w:szCs w:val="28"/>
        </w:rPr>
        <w:t>non ha garantito la soluzione della questione.</w:t>
      </w:r>
    </w:p>
    <w:p w:rsidR="00E92456" w:rsidRDefault="007E1716" w:rsidP="007E1716">
      <w:pPr>
        <w:spacing w:line="276" w:lineRule="auto"/>
        <w:jc w:val="both"/>
        <w:rPr>
          <w:sz w:val="28"/>
          <w:szCs w:val="28"/>
        </w:rPr>
      </w:pPr>
      <w:r w:rsidRPr="0096149E">
        <w:rPr>
          <w:sz w:val="28"/>
          <w:szCs w:val="28"/>
        </w:rPr>
        <w:t>A causa dei ritardi accumulati a seguito delle modalità individ</w:t>
      </w:r>
      <w:r w:rsidR="006E794C">
        <w:rPr>
          <w:sz w:val="28"/>
          <w:szCs w:val="28"/>
        </w:rPr>
        <w:t xml:space="preserve">uate per l’erogazione dei fondi, </w:t>
      </w:r>
      <w:r w:rsidRPr="0096149E">
        <w:rPr>
          <w:sz w:val="28"/>
          <w:szCs w:val="28"/>
        </w:rPr>
        <w:t xml:space="preserve">erogati a valle di un procedimento complesso che prevedeva innanzitutto la sottoscrizione di una Convenzione tra il Governo e ciascuna Regione, e poi tra la singola Regione con le Province e C.M., </w:t>
      </w:r>
      <w:r w:rsidRPr="006E794C">
        <w:rPr>
          <w:b/>
          <w:sz w:val="28"/>
          <w:szCs w:val="28"/>
        </w:rPr>
        <w:t>le Province e le Città metropolitane hanno dovuto anticipare sia per il 2015 che per il 2016 risorse importanti che a oggi non sono state loro ancora del tutto trasferite</w:t>
      </w:r>
      <w:r w:rsidRPr="0096149E">
        <w:rPr>
          <w:sz w:val="28"/>
          <w:szCs w:val="28"/>
        </w:rPr>
        <w:t>. Il panorama regionale è molto variegato rispetto a questo tema: alcune Regioni non hanno</w:t>
      </w:r>
      <w:r>
        <w:rPr>
          <w:sz w:val="28"/>
          <w:szCs w:val="28"/>
        </w:rPr>
        <w:t xml:space="preserve"> erogato</w:t>
      </w:r>
      <w:r w:rsidRPr="0096149E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96149E">
        <w:rPr>
          <w:sz w:val="28"/>
          <w:szCs w:val="28"/>
        </w:rPr>
        <w:t xml:space="preserve">né </w:t>
      </w:r>
      <w:r>
        <w:rPr>
          <w:sz w:val="28"/>
          <w:szCs w:val="28"/>
        </w:rPr>
        <w:t>forse erogheranno)</w:t>
      </w:r>
      <w:r w:rsidRPr="0096149E">
        <w:rPr>
          <w:sz w:val="28"/>
          <w:szCs w:val="28"/>
        </w:rPr>
        <w:t xml:space="preserve">, la quota regionale sul 2015, mentre </w:t>
      </w:r>
      <w:r>
        <w:rPr>
          <w:sz w:val="28"/>
          <w:szCs w:val="28"/>
        </w:rPr>
        <w:t>solo alcune hanno provveduto</w:t>
      </w:r>
      <w:r w:rsidRPr="0096149E">
        <w:rPr>
          <w:sz w:val="28"/>
          <w:szCs w:val="28"/>
        </w:rPr>
        <w:t xml:space="preserve"> alla copertura delle spese per il 2016</w:t>
      </w:r>
      <w:r w:rsidR="006E794C">
        <w:rPr>
          <w:sz w:val="28"/>
          <w:szCs w:val="28"/>
        </w:rPr>
        <w:t>.</w:t>
      </w:r>
    </w:p>
    <w:p w:rsidR="006E794C" w:rsidRPr="008A5D2C" w:rsidRDefault="008A5D2C" w:rsidP="007E1716">
      <w:pPr>
        <w:spacing w:line="276" w:lineRule="auto"/>
        <w:jc w:val="both"/>
        <w:rPr>
          <w:sz w:val="28"/>
          <w:szCs w:val="28"/>
          <w:u w:val="single"/>
        </w:rPr>
      </w:pPr>
      <w:r w:rsidRPr="008A5D2C">
        <w:rPr>
          <w:sz w:val="28"/>
          <w:szCs w:val="28"/>
          <w:u w:val="single"/>
        </w:rPr>
        <w:t xml:space="preserve">Inoltre </w:t>
      </w:r>
      <w:r w:rsidR="006E794C" w:rsidRPr="008A5D2C">
        <w:rPr>
          <w:sz w:val="28"/>
          <w:szCs w:val="28"/>
          <w:u w:val="single"/>
        </w:rPr>
        <w:t xml:space="preserve">la stragrande maggioranza delle Regioni come pure lo Stato </w:t>
      </w:r>
      <w:r w:rsidRPr="008A5D2C">
        <w:rPr>
          <w:sz w:val="28"/>
          <w:szCs w:val="28"/>
          <w:u w:val="single"/>
        </w:rPr>
        <w:t>per questo biennio non si sono fatte carico delle spese di funzionamento (che ammontano a circa 50/60 milioni l’anno)</w:t>
      </w:r>
      <w:r>
        <w:rPr>
          <w:sz w:val="28"/>
          <w:szCs w:val="28"/>
          <w:u w:val="single"/>
        </w:rPr>
        <w:t xml:space="preserve"> come pure </w:t>
      </w:r>
      <w:r w:rsidR="00475FE2">
        <w:rPr>
          <w:sz w:val="28"/>
          <w:szCs w:val="28"/>
          <w:u w:val="single"/>
        </w:rPr>
        <w:t>non hanno coperto i costi del personale precario impiegato che ammontano a circa 1.000 unità</w:t>
      </w:r>
      <w:r w:rsidR="003036A4">
        <w:rPr>
          <w:sz w:val="28"/>
          <w:szCs w:val="28"/>
          <w:u w:val="single"/>
        </w:rPr>
        <w:t xml:space="preserve"> per circa 30 milioni di euro.</w:t>
      </w:r>
    </w:p>
    <w:p w:rsidR="00440D4E" w:rsidRDefault="00440D4E" w:rsidP="008D6B53">
      <w:pPr>
        <w:spacing w:line="276" w:lineRule="auto"/>
        <w:jc w:val="both"/>
        <w:rPr>
          <w:sz w:val="28"/>
          <w:szCs w:val="28"/>
        </w:rPr>
      </w:pPr>
    </w:p>
    <w:p w:rsidR="00475FE2" w:rsidRPr="00475FE2" w:rsidRDefault="00475FE2" w:rsidP="008D6B53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475FE2">
        <w:rPr>
          <w:b/>
          <w:i/>
          <w:sz w:val="28"/>
          <w:szCs w:val="28"/>
          <w:u w:val="single"/>
        </w:rPr>
        <w:t>L’ACCORDO PER IL  2017</w:t>
      </w:r>
    </w:p>
    <w:p w:rsidR="00FA1067" w:rsidRDefault="00050984" w:rsidP="008D6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9B72CB">
        <w:rPr>
          <w:sz w:val="28"/>
          <w:szCs w:val="28"/>
        </w:rPr>
        <w:t xml:space="preserve">l 22 dicembre </w:t>
      </w:r>
      <w:r>
        <w:rPr>
          <w:sz w:val="28"/>
          <w:szCs w:val="28"/>
        </w:rPr>
        <w:t>2016</w:t>
      </w:r>
      <w:r w:rsidRPr="009B72CB">
        <w:rPr>
          <w:sz w:val="28"/>
          <w:szCs w:val="28"/>
        </w:rPr>
        <w:t xml:space="preserve"> in sede di Conferenza Stato-Regioni è stato sottoscritto il </w:t>
      </w:r>
      <w:r w:rsidRPr="00D90DD6">
        <w:rPr>
          <w:b/>
          <w:sz w:val="28"/>
          <w:szCs w:val="28"/>
        </w:rPr>
        <w:t>ri</w:t>
      </w:r>
      <w:r w:rsidR="00D90DD6">
        <w:rPr>
          <w:b/>
          <w:sz w:val="28"/>
          <w:szCs w:val="28"/>
        </w:rPr>
        <w:t>nnovo dell’Accordo quadro tra Governo e</w:t>
      </w:r>
      <w:r w:rsidRPr="00D90DD6">
        <w:rPr>
          <w:b/>
          <w:sz w:val="28"/>
          <w:szCs w:val="28"/>
        </w:rPr>
        <w:t xml:space="preserve"> Regioni in materia di politiche attive per il lavoro per il 2017</w:t>
      </w:r>
      <w:r w:rsidR="000D0D42">
        <w:rPr>
          <w:sz w:val="28"/>
          <w:szCs w:val="28"/>
        </w:rPr>
        <w:t xml:space="preserve"> </w:t>
      </w:r>
      <w:r w:rsidRPr="009B72CB">
        <w:rPr>
          <w:sz w:val="28"/>
          <w:szCs w:val="28"/>
        </w:rPr>
        <w:t xml:space="preserve">con cui il Governo e le Regioni </w:t>
      </w:r>
      <w:r>
        <w:rPr>
          <w:sz w:val="28"/>
          <w:szCs w:val="28"/>
        </w:rPr>
        <w:t>hanno assicurato</w:t>
      </w:r>
      <w:r w:rsidRPr="009B72CB">
        <w:rPr>
          <w:sz w:val="28"/>
          <w:szCs w:val="28"/>
        </w:rPr>
        <w:t xml:space="preserve"> la prosecuzione </w:t>
      </w:r>
      <w:r w:rsidRPr="009B72CB">
        <w:rPr>
          <w:sz w:val="28"/>
          <w:szCs w:val="28"/>
        </w:rPr>
        <w:lastRenderedPageBreak/>
        <w:t xml:space="preserve">della fase transitoria originariamente prevista solo per il biennio 2015 e 2016 anche per il 2017, </w:t>
      </w:r>
      <w:r w:rsidR="00FA1067">
        <w:rPr>
          <w:sz w:val="28"/>
          <w:szCs w:val="28"/>
        </w:rPr>
        <w:t xml:space="preserve">e perciò </w:t>
      </w:r>
      <w:r w:rsidRPr="009B72CB">
        <w:rPr>
          <w:sz w:val="28"/>
          <w:szCs w:val="28"/>
        </w:rPr>
        <w:t>la continuità del funzionamento dei Centri per l’impiego e del personale in essi impiegato in capo a Province e Città metropolitane</w:t>
      </w:r>
      <w:r w:rsidR="008D6B53">
        <w:rPr>
          <w:sz w:val="28"/>
          <w:szCs w:val="28"/>
        </w:rPr>
        <w:t>.</w:t>
      </w:r>
      <w:r w:rsidR="008D6B53" w:rsidRPr="008D6B53">
        <w:rPr>
          <w:sz w:val="28"/>
          <w:szCs w:val="28"/>
        </w:rPr>
        <w:t xml:space="preserve"> </w:t>
      </w:r>
      <w:r w:rsidR="008D6B53" w:rsidRPr="0096149E">
        <w:rPr>
          <w:sz w:val="28"/>
          <w:szCs w:val="28"/>
        </w:rPr>
        <w:t xml:space="preserve"> </w:t>
      </w:r>
    </w:p>
    <w:p w:rsidR="00475FE2" w:rsidRDefault="00475FE2" w:rsidP="008D6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Rispetto al biennio precedente il Ministero ha messo a disposizione un ammontare di risorse maggiori pari 220 milioni di euro (che </w:t>
      </w:r>
      <w:r w:rsidR="003036A4">
        <w:rPr>
          <w:sz w:val="28"/>
          <w:szCs w:val="28"/>
        </w:rPr>
        <w:t>dovrebbe ricomprendere</w:t>
      </w:r>
      <w:r>
        <w:rPr>
          <w:sz w:val="28"/>
          <w:szCs w:val="28"/>
        </w:rPr>
        <w:t xml:space="preserve"> anche i 2/3 delle spese di funzionamento). A tali risorse, devono poi aggiungersi, sempre con la regola della compartecipazione 1/3 Regioni e 2/3 Stato anche le risors</w:t>
      </w:r>
      <w:r w:rsidR="003036A4">
        <w:rPr>
          <w:sz w:val="28"/>
          <w:szCs w:val="28"/>
        </w:rPr>
        <w:t>e di parte regionale (110 milioni??)</w:t>
      </w:r>
    </w:p>
    <w:p w:rsidR="008D6B53" w:rsidRPr="00FA1067" w:rsidRDefault="00475FE2" w:rsidP="008D6B53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Anche per quest’anno però non si dice nulla in merito </w:t>
      </w:r>
      <w:r>
        <w:rPr>
          <w:sz w:val="28"/>
          <w:szCs w:val="28"/>
          <w:u w:val="single"/>
        </w:rPr>
        <w:t>al</w:t>
      </w:r>
      <w:r w:rsidR="008D6B53" w:rsidRPr="00FA1067">
        <w:rPr>
          <w:sz w:val="28"/>
          <w:szCs w:val="28"/>
          <w:u w:val="single"/>
        </w:rPr>
        <w:t xml:space="preserve"> personale precario altamente qualificato impiegato in questi uffici, a cui occorre necessariamente fare fronte anche a seguito della proroga di questi contratti prevista dal DL Milleproroghe.</w:t>
      </w:r>
    </w:p>
    <w:p w:rsidR="00A1513D" w:rsidRDefault="00FA1067" w:rsidP="00A1513D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Oggi, </w:t>
      </w:r>
      <w:r w:rsidR="008D6B53" w:rsidRPr="002A0233">
        <w:rPr>
          <w:sz w:val="28"/>
          <w:szCs w:val="28"/>
        </w:rPr>
        <w:t>come è noto</w:t>
      </w:r>
      <w:r>
        <w:rPr>
          <w:sz w:val="28"/>
          <w:szCs w:val="28"/>
        </w:rPr>
        <w:t>,</w:t>
      </w:r>
      <w:r w:rsidR="008D6B53" w:rsidRPr="002A0233">
        <w:rPr>
          <w:sz w:val="28"/>
          <w:szCs w:val="28"/>
        </w:rPr>
        <w:t xml:space="preserve"> i centri per l’impiego sono complessivamente 550 e, in base alla legislazione vigente statale e regionale, sono allocati in tutto il territorio nazionale </w:t>
      </w:r>
      <w:r w:rsidR="008D6B53" w:rsidRPr="00FA1067">
        <w:rPr>
          <w:sz w:val="28"/>
          <w:szCs w:val="28"/>
          <w:u w:val="single"/>
        </w:rPr>
        <w:t xml:space="preserve">a livello </w:t>
      </w:r>
      <w:r>
        <w:rPr>
          <w:sz w:val="28"/>
          <w:szCs w:val="28"/>
          <w:u w:val="single"/>
        </w:rPr>
        <w:t xml:space="preserve">di area vasta </w:t>
      </w:r>
      <w:r w:rsidR="008D6B53" w:rsidRPr="00FA1067">
        <w:rPr>
          <w:sz w:val="28"/>
          <w:szCs w:val="28"/>
          <w:u w:val="single"/>
        </w:rPr>
        <w:t>provinciale</w:t>
      </w:r>
      <w:r>
        <w:rPr>
          <w:sz w:val="28"/>
          <w:szCs w:val="28"/>
          <w:u w:val="single"/>
        </w:rPr>
        <w:t xml:space="preserve"> e metropolitana</w:t>
      </w:r>
      <w:r w:rsidR="008D6B53" w:rsidRPr="002A0233">
        <w:rPr>
          <w:sz w:val="28"/>
          <w:szCs w:val="28"/>
        </w:rPr>
        <w:t>. Il personale a tempo indeterminato impiegato ammonta, come da tabella allegata, a oltre 5.500 unità di personale che al momento risultano “congelati” nel p</w:t>
      </w:r>
      <w:r w:rsidR="00475FE2">
        <w:rPr>
          <w:sz w:val="28"/>
          <w:szCs w:val="28"/>
        </w:rPr>
        <w:t>ortale della Funzione Pubblica (e fuori la dotazione organica delle Province).</w:t>
      </w:r>
      <w:r w:rsidR="00A1513D" w:rsidRPr="00A1513D">
        <w:rPr>
          <w:b/>
          <w:sz w:val="28"/>
          <w:szCs w:val="28"/>
        </w:rPr>
        <w:t xml:space="preserve"> </w:t>
      </w:r>
    </w:p>
    <w:p w:rsidR="00A1513D" w:rsidRDefault="00A1513D" w:rsidP="00A1513D">
      <w:pPr>
        <w:spacing w:line="276" w:lineRule="auto"/>
        <w:jc w:val="both"/>
        <w:rPr>
          <w:b/>
          <w:sz w:val="28"/>
          <w:szCs w:val="28"/>
        </w:rPr>
      </w:pPr>
    </w:p>
    <w:p w:rsidR="00A1513D" w:rsidRDefault="00A1513D" w:rsidP="00A1513D">
      <w:pPr>
        <w:spacing w:line="276" w:lineRule="auto"/>
        <w:jc w:val="both"/>
        <w:rPr>
          <w:b/>
          <w:sz w:val="28"/>
          <w:szCs w:val="28"/>
        </w:rPr>
      </w:pPr>
      <w:r w:rsidRPr="00A1513D">
        <w:rPr>
          <w:b/>
          <w:sz w:val="28"/>
          <w:szCs w:val="28"/>
        </w:rPr>
        <w:t>Sul nostro Paese pesa e continua a pesare un sistema di servizi per l’impiego del tutto inadeguato rispetto alle esigenze del mercato del lavoro e molto lontano dagli standard europei</w:t>
      </w:r>
      <w:r>
        <w:rPr>
          <w:b/>
          <w:sz w:val="28"/>
          <w:szCs w:val="28"/>
        </w:rPr>
        <w:t xml:space="preserve">. </w:t>
      </w:r>
      <w:r w:rsidRPr="00A1513D">
        <w:rPr>
          <w:b/>
          <w:sz w:val="28"/>
          <w:szCs w:val="28"/>
        </w:rPr>
        <w:t>Siamo</w:t>
      </w:r>
      <w:r>
        <w:rPr>
          <w:b/>
          <w:sz w:val="28"/>
          <w:szCs w:val="28"/>
        </w:rPr>
        <w:t xml:space="preserve"> dunque convinti che sia assolutamente necessario provvedere ad un </w:t>
      </w:r>
      <w:r w:rsidRPr="00A1513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iano di rafforzamento degli SPI che passa per due direttrici:</w:t>
      </w:r>
    </w:p>
    <w:p w:rsidR="00A1513D" w:rsidRDefault="00A1513D" w:rsidP="00A1513D">
      <w:pPr>
        <w:pStyle w:val="Paragrafoelenco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Una </w:t>
      </w:r>
      <w:proofErr w:type="spellStart"/>
      <w:r w:rsidR="003036A4">
        <w:rPr>
          <w:b/>
          <w:sz w:val="28"/>
          <w:szCs w:val="28"/>
          <w:u w:val="single"/>
        </w:rPr>
        <w:t>governance</w:t>
      </w:r>
      <w:proofErr w:type="spellEnd"/>
      <w:r w:rsidR="003036A4">
        <w:rPr>
          <w:b/>
          <w:sz w:val="28"/>
          <w:szCs w:val="28"/>
          <w:u w:val="single"/>
        </w:rPr>
        <w:t xml:space="preserve"> chiara di si</w:t>
      </w:r>
      <w:r>
        <w:rPr>
          <w:b/>
          <w:sz w:val="28"/>
          <w:szCs w:val="28"/>
          <w:u w:val="single"/>
        </w:rPr>
        <w:t>stema</w:t>
      </w:r>
      <w:r w:rsidR="003036A4">
        <w:rPr>
          <w:b/>
          <w:sz w:val="28"/>
          <w:szCs w:val="28"/>
          <w:u w:val="single"/>
        </w:rPr>
        <w:t>;</w:t>
      </w:r>
    </w:p>
    <w:p w:rsidR="00A1513D" w:rsidRPr="00A1513D" w:rsidRDefault="00A1513D" w:rsidP="00A1513D">
      <w:pPr>
        <w:pStyle w:val="Paragrafoelenco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Un serio investimento sul personale che vi lavora </w:t>
      </w:r>
      <w:r w:rsidR="003036A4">
        <w:rPr>
          <w:b/>
          <w:sz w:val="28"/>
          <w:szCs w:val="28"/>
          <w:u w:val="single"/>
        </w:rPr>
        <w:t>stabilizzando</w:t>
      </w:r>
      <w:r>
        <w:rPr>
          <w:b/>
          <w:sz w:val="28"/>
          <w:szCs w:val="28"/>
          <w:u w:val="single"/>
        </w:rPr>
        <w:t xml:space="preserve"> inn</w:t>
      </w:r>
      <w:r w:rsidR="003036A4">
        <w:rPr>
          <w:b/>
          <w:sz w:val="28"/>
          <w:szCs w:val="28"/>
          <w:u w:val="single"/>
        </w:rPr>
        <w:t>anzitutto il personale precario, nonché attraverso</w:t>
      </w:r>
      <w:r>
        <w:rPr>
          <w:b/>
          <w:sz w:val="28"/>
          <w:szCs w:val="28"/>
          <w:u w:val="single"/>
        </w:rPr>
        <w:t xml:space="preserve"> nuove assunzioni</w:t>
      </w:r>
    </w:p>
    <w:p w:rsidR="008D6B53" w:rsidRPr="002A0233" w:rsidRDefault="008D6B53" w:rsidP="008D6B53">
      <w:pPr>
        <w:spacing w:line="276" w:lineRule="auto"/>
        <w:jc w:val="both"/>
        <w:rPr>
          <w:sz w:val="28"/>
          <w:szCs w:val="28"/>
        </w:rPr>
      </w:pPr>
    </w:p>
    <w:p w:rsidR="008D6B53" w:rsidRPr="002A0233" w:rsidRDefault="008D6B53" w:rsidP="008D6B53">
      <w:pPr>
        <w:spacing w:line="276" w:lineRule="auto"/>
        <w:jc w:val="both"/>
        <w:rPr>
          <w:b/>
          <w:sz w:val="28"/>
          <w:szCs w:val="28"/>
        </w:rPr>
      </w:pPr>
      <w:r w:rsidRPr="002A0233">
        <w:rPr>
          <w:sz w:val="28"/>
          <w:szCs w:val="28"/>
        </w:rPr>
        <w:t xml:space="preserve">Questa situazione di incertezza non può andare oltre e se l’obiettivo del Governo è quello di potenziare le politiche attive del lavoro </w:t>
      </w:r>
      <w:r w:rsidRPr="002A0233">
        <w:rPr>
          <w:b/>
          <w:sz w:val="28"/>
          <w:szCs w:val="28"/>
        </w:rPr>
        <w:t xml:space="preserve">appare oggi prioritario e urgente sciogliere una volta per tutte </w:t>
      </w:r>
      <w:r w:rsidR="00E555FD">
        <w:rPr>
          <w:b/>
          <w:sz w:val="28"/>
          <w:szCs w:val="28"/>
        </w:rPr>
        <w:t xml:space="preserve">il nodo della </w:t>
      </w:r>
      <w:proofErr w:type="spellStart"/>
      <w:r w:rsidR="00E555FD">
        <w:rPr>
          <w:b/>
          <w:sz w:val="28"/>
          <w:szCs w:val="28"/>
        </w:rPr>
        <w:t>governance</w:t>
      </w:r>
      <w:proofErr w:type="spellEnd"/>
      <w:r w:rsidR="00E555FD">
        <w:rPr>
          <w:b/>
          <w:sz w:val="28"/>
          <w:szCs w:val="28"/>
        </w:rPr>
        <w:t xml:space="preserve"> e potenziare i servizi</w:t>
      </w:r>
      <w:r w:rsidRPr="002A0233">
        <w:rPr>
          <w:b/>
          <w:sz w:val="28"/>
          <w:szCs w:val="28"/>
        </w:rPr>
        <w:t>.</w:t>
      </w:r>
    </w:p>
    <w:p w:rsidR="00A1513D" w:rsidRDefault="008D6B53" w:rsidP="008D6B53">
      <w:pPr>
        <w:spacing w:line="276" w:lineRule="auto"/>
        <w:jc w:val="both"/>
        <w:rPr>
          <w:b/>
          <w:sz w:val="28"/>
          <w:szCs w:val="28"/>
          <w:u w:val="single"/>
        </w:rPr>
      </w:pPr>
      <w:r w:rsidRPr="002A0233">
        <w:rPr>
          <w:b/>
          <w:sz w:val="28"/>
          <w:szCs w:val="28"/>
          <w:u w:val="single"/>
        </w:rPr>
        <w:t>A Costituzione vigente</w:t>
      </w:r>
      <w:r w:rsidR="00FA1067">
        <w:rPr>
          <w:b/>
          <w:sz w:val="28"/>
          <w:szCs w:val="28"/>
          <w:u w:val="single"/>
        </w:rPr>
        <w:t>,</w:t>
      </w:r>
      <w:r w:rsidRPr="002A0233">
        <w:rPr>
          <w:b/>
          <w:sz w:val="28"/>
          <w:szCs w:val="28"/>
          <w:u w:val="single"/>
        </w:rPr>
        <w:t xml:space="preserve"> ed a quasi 3 anni dall’entrata in vigore della Legge </w:t>
      </w:r>
      <w:r w:rsidR="00FA1067">
        <w:rPr>
          <w:b/>
          <w:sz w:val="28"/>
          <w:szCs w:val="28"/>
          <w:u w:val="single"/>
        </w:rPr>
        <w:t>56/2014</w:t>
      </w:r>
      <w:r w:rsidRPr="002A0233">
        <w:rPr>
          <w:b/>
          <w:sz w:val="28"/>
          <w:szCs w:val="28"/>
          <w:u w:val="single"/>
        </w:rPr>
        <w:t>, questa funzione non può continuare a restare in un assurdo limbo, con i costi assegnati in capo alle Province, la titolarità delle competenze in capo a Regioni e Stato e il personale parcheggiato nel portale della mobilità.</w:t>
      </w:r>
    </w:p>
    <w:p w:rsidR="00A1513D" w:rsidRDefault="00A1513D" w:rsidP="008D6B53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444C2" w:rsidRDefault="003444C2" w:rsidP="00E6118A">
      <w:pPr>
        <w:spacing w:line="276" w:lineRule="auto"/>
        <w:jc w:val="both"/>
        <w:rPr>
          <w:sz w:val="28"/>
          <w:szCs w:val="28"/>
          <w:u w:val="single"/>
        </w:rPr>
      </w:pPr>
    </w:p>
    <w:p w:rsidR="00A1513D" w:rsidRDefault="00A1513D" w:rsidP="00E6118A">
      <w:pPr>
        <w:spacing w:line="276" w:lineRule="auto"/>
        <w:jc w:val="both"/>
        <w:rPr>
          <w:sz w:val="28"/>
          <w:szCs w:val="28"/>
          <w:u w:val="single"/>
        </w:rPr>
      </w:pPr>
    </w:p>
    <w:p w:rsidR="00A1513D" w:rsidRDefault="00A1513D" w:rsidP="00E6118A">
      <w:pPr>
        <w:spacing w:line="276" w:lineRule="auto"/>
        <w:jc w:val="both"/>
        <w:rPr>
          <w:sz w:val="28"/>
          <w:szCs w:val="28"/>
          <w:u w:val="single"/>
        </w:rPr>
      </w:pPr>
    </w:p>
    <w:p w:rsidR="00D50211" w:rsidRDefault="00D50211" w:rsidP="005B0E8B">
      <w:pPr>
        <w:spacing w:line="276" w:lineRule="auto"/>
        <w:jc w:val="both"/>
        <w:rPr>
          <w:sz w:val="28"/>
          <w:szCs w:val="28"/>
        </w:rPr>
      </w:pPr>
    </w:p>
    <w:tbl>
      <w:tblPr>
        <w:tblW w:w="7384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4968"/>
      </w:tblGrid>
      <w:tr w:rsidR="00552293" w:rsidRPr="004F4FE8" w:rsidTr="004F4FE8">
        <w:trPr>
          <w:trHeight w:val="725"/>
        </w:trPr>
        <w:tc>
          <w:tcPr>
            <w:tcW w:w="7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rPr>
                <w:b/>
                <w:bCs/>
                <w:color w:val="000000"/>
                <w:sz w:val="28"/>
                <w:szCs w:val="28"/>
              </w:rPr>
            </w:pPr>
            <w:r w:rsidRPr="004F4FE8">
              <w:rPr>
                <w:b/>
                <w:bCs/>
                <w:color w:val="000000"/>
                <w:sz w:val="28"/>
                <w:szCs w:val="28"/>
              </w:rPr>
              <w:t>NUMEROSITA' E DISTRIBUZIONE DEI DIPENDENTI DEGLI ENTI DI AREA VASTA ADDETTI A FUNZIONI CONNESSE CON IL MERCATO DEL LAVORO presenti nel Portale della mobilità alla data del 1.1.2017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ABRUZZO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192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BASILICATA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148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CALABRIA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418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CAMPANIA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713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EMILIA ROMAGNA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453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LAZIO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663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LIGURIA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174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LOMBARDIA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545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MARCHE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312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MOLISE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41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PIEMONTE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451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PUGLIA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467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TOSCANA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362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UMBRIA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141</w:t>
            </w:r>
          </w:p>
        </w:tc>
      </w:tr>
      <w:tr w:rsidR="00552293" w:rsidRPr="004F4FE8" w:rsidTr="004F4FE8">
        <w:trPr>
          <w:trHeight w:val="40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0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VENETO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F4FE8">
            <w:pPr>
              <w:spacing w:before="100" w:beforeAutospacing="1"/>
              <w:ind w:firstLine="220"/>
              <w:jc w:val="center"/>
              <w:rPr>
                <w:sz w:val="28"/>
                <w:szCs w:val="28"/>
              </w:rPr>
            </w:pPr>
            <w:r w:rsidRPr="004F4FE8">
              <w:rPr>
                <w:color w:val="000000"/>
                <w:sz w:val="28"/>
                <w:szCs w:val="28"/>
              </w:rPr>
              <w:t>425</w:t>
            </w:r>
          </w:p>
        </w:tc>
      </w:tr>
      <w:tr w:rsidR="00552293" w:rsidRPr="004F4FE8" w:rsidTr="004F4FE8">
        <w:trPr>
          <w:trHeight w:val="450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552293" w:rsidP="00424F70">
            <w:pPr>
              <w:spacing w:before="100" w:beforeAutospacing="1"/>
              <w:ind w:firstLine="221"/>
              <w:rPr>
                <w:sz w:val="28"/>
                <w:szCs w:val="28"/>
              </w:rPr>
            </w:pPr>
            <w:r w:rsidRPr="004F4FE8">
              <w:rPr>
                <w:b/>
                <w:bCs/>
                <w:color w:val="000000"/>
                <w:sz w:val="28"/>
                <w:szCs w:val="28"/>
              </w:rPr>
              <w:t>TOTALE</w:t>
            </w:r>
          </w:p>
        </w:tc>
        <w:tc>
          <w:tcPr>
            <w:tcW w:w="4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2293" w:rsidRPr="004F4FE8" w:rsidRDefault="004F4FE8" w:rsidP="004F4FE8">
            <w:pPr>
              <w:spacing w:before="100" w:beforeAutospacing="1"/>
              <w:ind w:firstLine="883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="00552293" w:rsidRPr="004F4FE8">
              <w:rPr>
                <w:b/>
                <w:bCs/>
                <w:color w:val="000000"/>
                <w:sz w:val="28"/>
                <w:szCs w:val="28"/>
              </w:rPr>
              <w:t>5.505</w:t>
            </w:r>
          </w:p>
        </w:tc>
      </w:tr>
    </w:tbl>
    <w:p w:rsidR="00A62ABF" w:rsidRPr="004F4FE8" w:rsidRDefault="00A62ABF" w:rsidP="005B0E8B">
      <w:pPr>
        <w:spacing w:line="276" w:lineRule="auto"/>
        <w:jc w:val="both"/>
        <w:rPr>
          <w:sz w:val="28"/>
          <w:szCs w:val="28"/>
        </w:rPr>
      </w:pPr>
    </w:p>
    <w:p w:rsidR="005D72D6" w:rsidRDefault="005D72D6"/>
    <w:sectPr w:rsidR="005D72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C36"/>
    <w:multiLevelType w:val="hybridMultilevel"/>
    <w:tmpl w:val="7F3E0F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1F8E"/>
    <w:multiLevelType w:val="hybridMultilevel"/>
    <w:tmpl w:val="F1362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46A2"/>
    <w:multiLevelType w:val="hybridMultilevel"/>
    <w:tmpl w:val="88EA20A8"/>
    <w:lvl w:ilvl="0" w:tplc="6F06D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2AB"/>
    <w:multiLevelType w:val="hybridMultilevel"/>
    <w:tmpl w:val="1556E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017DC"/>
    <w:multiLevelType w:val="hybridMultilevel"/>
    <w:tmpl w:val="913AF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0F"/>
    <w:rsid w:val="0001164E"/>
    <w:rsid w:val="00050984"/>
    <w:rsid w:val="0008040F"/>
    <w:rsid w:val="00094FC7"/>
    <w:rsid w:val="000D0ADA"/>
    <w:rsid w:val="000D0D42"/>
    <w:rsid w:val="00105D4B"/>
    <w:rsid w:val="00196FFE"/>
    <w:rsid w:val="001A5CF4"/>
    <w:rsid w:val="00203C73"/>
    <w:rsid w:val="002207BF"/>
    <w:rsid w:val="00264A69"/>
    <w:rsid w:val="0026763D"/>
    <w:rsid w:val="002A0233"/>
    <w:rsid w:val="002F5AFC"/>
    <w:rsid w:val="003036A4"/>
    <w:rsid w:val="00304BE3"/>
    <w:rsid w:val="003444C2"/>
    <w:rsid w:val="003A6FBA"/>
    <w:rsid w:val="003B4889"/>
    <w:rsid w:val="003E68AD"/>
    <w:rsid w:val="00440D4E"/>
    <w:rsid w:val="00475FE2"/>
    <w:rsid w:val="00476765"/>
    <w:rsid w:val="0048486E"/>
    <w:rsid w:val="004950FE"/>
    <w:rsid w:val="004B1A52"/>
    <w:rsid w:val="004B6369"/>
    <w:rsid w:val="004F4FE8"/>
    <w:rsid w:val="00517634"/>
    <w:rsid w:val="005414F9"/>
    <w:rsid w:val="00552293"/>
    <w:rsid w:val="00585AEF"/>
    <w:rsid w:val="005B0E8B"/>
    <w:rsid w:val="005C23F3"/>
    <w:rsid w:val="005D72D6"/>
    <w:rsid w:val="00606F14"/>
    <w:rsid w:val="00631BC6"/>
    <w:rsid w:val="00665C0E"/>
    <w:rsid w:val="00695C75"/>
    <w:rsid w:val="006C5198"/>
    <w:rsid w:val="006D533F"/>
    <w:rsid w:val="006E794C"/>
    <w:rsid w:val="00702496"/>
    <w:rsid w:val="007C25AE"/>
    <w:rsid w:val="007E1716"/>
    <w:rsid w:val="007E6F9C"/>
    <w:rsid w:val="008731C9"/>
    <w:rsid w:val="008732B8"/>
    <w:rsid w:val="008A5D2C"/>
    <w:rsid w:val="008D6B53"/>
    <w:rsid w:val="0096149E"/>
    <w:rsid w:val="009B72CB"/>
    <w:rsid w:val="009F0C1A"/>
    <w:rsid w:val="00A10F6F"/>
    <w:rsid w:val="00A1513D"/>
    <w:rsid w:val="00A23F7C"/>
    <w:rsid w:val="00A62ABF"/>
    <w:rsid w:val="00A70DC5"/>
    <w:rsid w:val="00AA7199"/>
    <w:rsid w:val="00B33CCC"/>
    <w:rsid w:val="00B95F2C"/>
    <w:rsid w:val="00C07376"/>
    <w:rsid w:val="00C12DC9"/>
    <w:rsid w:val="00CD5BB5"/>
    <w:rsid w:val="00D50211"/>
    <w:rsid w:val="00D54A87"/>
    <w:rsid w:val="00D90DD6"/>
    <w:rsid w:val="00DF1F72"/>
    <w:rsid w:val="00E11A1A"/>
    <w:rsid w:val="00E30810"/>
    <w:rsid w:val="00E555FD"/>
    <w:rsid w:val="00E6118A"/>
    <w:rsid w:val="00E92456"/>
    <w:rsid w:val="00EF46D1"/>
    <w:rsid w:val="00F17FE3"/>
    <w:rsid w:val="00F35D90"/>
    <w:rsid w:val="00F76D97"/>
    <w:rsid w:val="00FA1067"/>
    <w:rsid w:val="00FA4569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2B46D3"/>
  <w15:docId w15:val="{BDB40A35-6CB4-4D26-8D9C-FC93B356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08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04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2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29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AE6D-7AAA-47EF-8F1B-8F8765B6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8716</Characters>
  <Application>Microsoft Office Word</Application>
  <DocSecurity>4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Palombo</dc:creator>
  <cp:lastModifiedBy>Barbara Perluigi</cp:lastModifiedBy>
  <cp:revision>2</cp:revision>
  <cp:lastPrinted>2017-03-21T14:14:00Z</cp:lastPrinted>
  <dcterms:created xsi:type="dcterms:W3CDTF">2017-03-21T14:15:00Z</dcterms:created>
  <dcterms:modified xsi:type="dcterms:W3CDTF">2017-03-21T14:15:00Z</dcterms:modified>
</cp:coreProperties>
</file>